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A797F" w14:paraId="611B5FE2" w14:textId="77777777">
        <w:tblPrEx>
          <w:tblCellMar>
            <w:top w:w="0" w:type="dxa"/>
            <w:bottom w:w="0" w:type="dxa"/>
          </w:tblCellMar>
        </w:tblPrEx>
        <w:trPr>
          <w:tblCellSpacing w:w="60" w:type="dxa"/>
        </w:trPr>
        <w:tc>
          <w:tcPr>
            <w:tcW w:w="1200" w:type="pct"/>
            <w:shd w:val="clear" w:color="auto" w:fill="E7F0F9"/>
          </w:tcPr>
          <w:p w14:paraId="06F921F7" w14:textId="77777777" w:rsidR="00BA797F" w:rsidRDefault="00000000">
            <w:pPr>
              <w:spacing w:after="0" w:line="240" w:lineRule="auto"/>
            </w:pPr>
            <w:r>
              <w:rPr>
                <w:b/>
              </w:rPr>
              <w:t>RKP broj</w:t>
            </w:r>
          </w:p>
        </w:tc>
        <w:tc>
          <w:tcPr>
            <w:tcW w:w="0" w:type="auto"/>
            <w:shd w:val="clear" w:color="auto" w:fill="E7F0F9"/>
          </w:tcPr>
          <w:p w14:paraId="1E98A5BF" w14:textId="77777777" w:rsidR="00BA797F" w:rsidRDefault="00000000">
            <w:pPr>
              <w:spacing w:after="0" w:line="240" w:lineRule="auto"/>
            </w:pPr>
            <w:r>
              <w:t>44428</w:t>
            </w:r>
          </w:p>
        </w:tc>
      </w:tr>
      <w:tr w:rsidR="00BA797F" w14:paraId="255E62D4" w14:textId="77777777">
        <w:tblPrEx>
          <w:tblCellMar>
            <w:top w:w="0" w:type="dxa"/>
            <w:bottom w:w="0" w:type="dxa"/>
          </w:tblCellMar>
        </w:tblPrEx>
        <w:trPr>
          <w:tblCellSpacing w:w="60" w:type="dxa"/>
        </w:trPr>
        <w:tc>
          <w:tcPr>
            <w:tcW w:w="1200" w:type="pct"/>
            <w:shd w:val="clear" w:color="auto" w:fill="E7F0F9"/>
          </w:tcPr>
          <w:p w14:paraId="723A5696" w14:textId="77777777" w:rsidR="00BA797F" w:rsidRDefault="00000000">
            <w:pPr>
              <w:spacing w:after="0" w:line="240" w:lineRule="auto"/>
            </w:pPr>
            <w:r>
              <w:rPr>
                <w:b/>
              </w:rPr>
              <w:t>Naziv obveznika</w:t>
            </w:r>
          </w:p>
        </w:tc>
        <w:tc>
          <w:tcPr>
            <w:tcW w:w="0" w:type="auto"/>
            <w:shd w:val="clear" w:color="auto" w:fill="E7F0F9"/>
          </w:tcPr>
          <w:p w14:paraId="4318B180" w14:textId="77777777" w:rsidR="00BA797F" w:rsidRDefault="00000000">
            <w:pPr>
              <w:spacing w:after="0" w:line="240" w:lineRule="auto"/>
            </w:pPr>
            <w:r>
              <w:t>POGON -  ZAGREBAČKI CENTAR ZA NEZAVISNU KULTURU I MLADE</w:t>
            </w:r>
          </w:p>
        </w:tc>
      </w:tr>
      <w:tr w:rsidR="00BA797F" w14:paraId="000E42CD" w14:textId="77777777">
        <w:tblPrEx>
          <w:tblCellMar>
            <w:top w:w="0" w:type="dxa"/>
            <w:bottom w:w="0" w:type="dxa"/>
          </w:tblCellMar>
        </w:tblPrEx>
        <w:trPr>
          <w:tblCellSpacing w:w="60" w:type="dxa"/>
        </w:trPr>
        <w:tc>
          <w:tcPr>
            <w:tcW w:w="1200" w:type="pct"/>
            <w:shd w:val="clear" w:color="auto" w:fill="E7F0F9"/>
          </w:tcPr>
          <w:p w14:paraId="31022500" w14:textId="77777777" w:rsidR="00BA797F" w:rsidRDefault="00000000">
            <w:pPr>
              <w:spacing w:after="0" w:line="240" w:lineRule="auto"/>
            </w:pPr>
            <w:r>
              <w:rPr>
                <w:b/>
              </w:rPr>
              <w:t>Razina</w:t>
            </w:r>
          </w:p>
        </w:tc>
        <w:tc>
          <w:tcPr>
            <w:tcW w:w="0" w:type="auto"/>
            <w:shd w:val="clear" w:color="auto" w:fill="E7F0F9"/>
          </w:tcPr>
          <w:p w14:paraId="3A523D81" w14:textId="77777777" w:rsidR="00BA797F" w:rsidRDefault="00000000">
            <w:pPr>
              <w:spacing w:after="0" w:line="240" w:lineRule="auto"/>
            </w:pPr>
            <w:r>
              <w:t>21</w:t>
            </w:r>
          </w:p>
        </w:tc>
      </w:tr>
    </w:tbl>
    <w:p w14:paraId="3E256A25" w14:textId="77777777" w:rsidR="00BA797F" w:rsidRDefault="00000000">
      <w:r>
        <w:br/>
      </w:r>
    </w:p>
    <w:p w14:paraId="3C65E5B5" w14:textId="77777777" w:rsidR="00BA797F" w:rsidRDefault="00000000">
      <w:pPr>
        <w:spacing w:line="240" w:lineRule="auto"/>
        <w:jc w:val="center"/>
      </w:pPr>
      <w:r>
        <w:rPr>
          <w:b/>
          <w:sz w:val="28"/>
        </w:rPr>
        <w:t>BILJEŠKE UZ FINANCIJSKE IZVJEŠTAJE</w:t>
      </w:r>
    </w:p>
    <w:p w14:paraId="2C2A372F" w14:textId="77777777" w:rsidR="00BA797F" w:rsidRDefault="00000000">
      <w:pPr>
        <w:spacing w:line="240" w:lineRule="auto"/>
        <w:jc w:val="center"/>
      </w:pPr>
      <w:r>
        <w:rPr>
          <w:b/>
          <w:sz w:val="28"/>
        </w:rPr>
        <w:t>ZA RAZDOBLJE</w:t>
      </w:r>
    </w:p>
    <w:p w14:paraId="6A93C529" w14:textId="77777777" w:rsidR="00BA797F" w:rsidRDefault="00000000">
      <w:pPr>
        <w:spacing w:line="240" w:lineRule="auto"/>
        <w:jc w:val="center"/>
      </w:pPr>
      <w:r>
        <w:rPr>
          <w:b/>
          <w:sz w:val="28"/>
        </w:rPr>
        <w:t>I - XII 2025.</w:t>
      </w:r>
    </w:p>
    <w:p w14:paraId="41FFB3D9" w14:textId="77777777" w:rsidR="00BA797F" w:rsidRDefault="00BA797F"/>
    <w:p w14:paraId="09A372A3" w14:textId="77777777" w:rsidR="00BA797F" w:rsidRDefault="00000000">
      <w:pPr>
        <w:keepNext/>
        <w:spacing w:line="240" w:lineRule="auto"/>
        <w:jc w:val="center"/>
      </w:pPr>
      <w:r>
        <w:rPr>
          <w:b/>
          <w:sz w:val="28"/>
        </w:rPr>
        <w:t>Izvještaj o prihodima i rashodima, primicima i izdacima</w:t>
      </w:r>
    </w:p>
    <w:p w14:paraId="5E7192C8" w14:textId="77777777" w:rsidR="00BA797F"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7F2FE0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18EC01"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22CB0A"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D40EF4"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4E9C0D"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C590C3"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4F745D" w14:textId="77777777" w:rsidR="00BA797F" w:rsidRDefault="00000000">
            <w:pPr>
              <w:keepNext/>
              <w:keepLines/>
              <w:spacing w:after="0" w:line="240" w:lineRule="auto"/>
              <w:jc w:val="center"/>
            </w:pPr>
            <w:r>
              <w:rPr>
                <w:b/>
                <w:sz w:val="18"/>
              </w:rPr>
              <w:t>Indeks (%)</w:t>
            </w:r>
          </w:p>
        </w:tc>
      </w:tr>
      <w:tr w:rsidR="00BA797F" w14:paraId="7938AEE0" w14:textId="77777777">
        <w:tblPrEx>
          <w:tblCellMar>
            <w:top w:w="0" w:type="dxa"/>
            <w:bottom w:w="0" w:type="dxa"/>
          </w:tblCellMar>
        </w:tblPrEx>
        <w:trPr>
          <w:cantSplit/>
          <w:trHeight w:val="560"/>
        </w:trPr>
        <w:tc>
          <w:tcPr>
            <w:tcW w:w="700" w:type="dxa"/>
            <w:tcMar>
              <w:top w:w="0" w:type="dxa"/>
              <w:bottom w:w="0" w:type="dxa"/>
            </w:tcMar>
            <w:vAlign w:val="center"/>
          </w:tcPr>
          <w:p w14:paraId="6AC1FB8E" w14:textId="77777777" w:rsidR="00BA797F" w:rsidRDefault="00000000">
            <w:pPr>
              <w:keepNext/>
              <w:keepLines/>
              <w:spacing w:after="0" w:line="240" w:lineRule="auto"/>
            </w:pPr>
            <w:r>
              <w:rPr>
                <w:sz w:val="18"/>
              </w:rPr>
              <w:t>6</w:t>
            </w:r>
          </w:p>
        </w:tc>
        <w:tc>
          <w:tcPr>
            <w:tcW w:w="3180" w:type="dxa"/>
            <w:tcMar>
              <w:top w:w="0" w:type="dxa"/>
              <w:bottom w:w="0" w:type="dxa"/>
            </w:tcMar>
            <w:vAlign w:val="center"/>
          </w:tcPr>
          <w:p w14:paraId="2EDC72E5" w14:textId="77777777" w:rsidR="00BA797F"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A307BC7" w14:textId="77777777" w:rsidR="00BA797F" w:rsidRDefault="00000000">
            <w:pPr>
              <w:keepNext/>
              <w:keepLines/>
              <w:spacing w:after="0" w:line="240" w:lineRule="auto"/>
            </w:pPr>
            <w:r>
              <w:rPr>
                <w:sz w:val="18"/>
              </w:rPr>
              <w:t>6</w:t>
            </w:r>
          </w:p>
        </w:tc>
        <w:tc>
          <w:tcPr>
            <w:tcW w:w="1860" w:type="dxa"/>
            <w:tcMar>
              <w:top w:w="0" w:type="dxa"/>
              <w:bottom w:w="0" w:type="dxa"/>
            </w:tcMar>
            <w:vAlign w:val="center"/>
          </w:tcPr>
          <w:p w14:paraId="1109712A" w14:textId="77777777" w:rsidR="00BA797F" w:rsidRDefault="00000000">
            <w:pPr>
              <w:keepNext/>
              <w:keepLines/>
              <w:spacing w:after="0" w:line="240" w:lineRule="auto"/>
              <w:jc w:val="right"/>
            </w:pPr>
            <w:r>
              <w:rPr>
                <w:sz w:val="18"/>
              </w:rPr>
              <w:t>459.704,43</w:t>
            </w:r>
          </w:p>
        </w:tc>
        <w:tc>
          <w:tcPr>
            <w:tcW w:w="1860" w:type="dxa"/>
            <w:tcMar>
              <w:top w:w="0" w:type="dxa"/>
              <w:bottom w:w="0" w:type="dxa"/>
            </w:tcMar>
            <w:vAlign w:val="center"/>
          </w:tcPr>
          <w:p w14:paraId="32471301" w14:textId="77777777" w:rsidR="00BA797F" w:rsidRDefault="00000000">
            <w:pPr>
              <w:keepNext/>
              <w:keepLines/>
              <w:spacing w:after="0" w:line="240" w:lineRule="auto"/>
              <w:jc w:val="right"/>
            </w:pPr>
            <w:r>
              <w:rPr>
                <w:sz w:val="18"/>
              </w:rPr>
              <w:t>795.754,28</w:t>
            </w:r>
          </w:p>
        </w:tc>
        <w:tc>
          <w:tcPr>
            <w:tcW w:w="700" w:type="dxa"/>
            <w:tcMar>
              <w:top w:w="0" w:type="dxa"/>
              <w:bottom w:w="0" w:type="dxa"/>
            </w:tcMar>
            <w:vAlign w:val="center"/>
          </w:tcPr>
          <w:p w14:paraId="6BB0D06C" w14:textId="77777777" w:rsidR="00BA797F" w:rsidRDefault="00000000">
            <w:pPr>
              <w:keepNext/>
              <w:keepLines/>
              <w:spacing w:after="0" w:line="240" w:lineRule="auto"/>
              <w:jc w:val="right"/>
            </w:pPr>
            <w:r>
              <w:rPr>
                <w:sz w:val="18"/>
              </w:rPr>
              <w:t>173,1</w:t>
            </w:r>
          </w:p>
        </w:tc>
      </w:tr>
      <w:tr w:rsidR="00BA797F" w14:paraId="68B2ECCD" w14:textId="77777777">
        <w:tblPrEx>
          <w:tblCellMar>
            <w:top w:w="0" w:type="dxa"/>
            <w:bottom w:w="0" w:type="dxa"/>
          </w:tblCellMar>
        </w:tblPrEx>
        <w:trPr>
          <w:cantSplit/>
          <w:trHeight w:val="560"/>
        </w:trPr>
        <w:tc>
          <w:tcPr>
            <w:tcW w:w="700" w:type="dxa"/>
            <w:tcMar>
              <w:top w:w="0" w:type="dxa"/>
              <w:bottom w:w="0" w:type="dxa"/>
            </w:tcMar>
            <w:vAlign w:val="center"/>
          </w:tcPr>
          <w:p w14:paraId="0E99BA18" w14:textId="77777777" w:rsidR="00BA797F" w:rsidRDefault="00000000">
            <w:pPr>
              <w:keepNext/>
              <w:keepLines/>
              <w:spacing w:after="0" w:line="240" w:lineRule="auto"/>
            </w:pPr>
            <w:r>
              <w:rPr>
                <w:sz w:val="18"/>
              </w:rPr>
              <w:t>3</w:t>
            </w:r>
          </w:p>
        </w:tc>
        <w:tc>
          <w:tcPr>
            <w:tcW w:w="3180" w:type="dxa"/>
            <w:tcMar>
              <w:top w:w="0" w:type="dxa"/>
              <w:bottom w:w="0" w:type="dxa"/>
            </w:tcMar>
            <w:vAlign w:val="center"/>
          </w:tcPr>
          <w:p w14:paraId="3A84E1CB" w14:textId="77777777" w:rsidR="00BA797F"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6D6EFA2" w14:textId="77777777" w:rsidR="00BA797F" w:rsidRDefault="00000000">
            <w:pPr>
              <w:keepNext/>
              <w:keepLines/>
              <w:spacing w:after="0" w:line="240" w:lineRule="auto"/>
            </w:pPr>
            <w:r>
              <w:rPr>
                <w:sz w:val="18"/>
              </w:rPr>
              <w:t>3</w:t>
            </w:r>
          </w:p>
        </w:tc>
        <w:tc>
          <w:tcPr>
            <w:tcW w:w="1860" w:type="dxa"/>
            <w:tcMar>
              <w:top w:w="0" w:type="dxa"/>
              <w:bottom w:w="0" w:type="dxa"/>
            </w:tcMar>
            <w:vAlign w:val="center"/>
          </w:tcPr>
          <w:p w14:paraId="4EB3C6E2" w14:textId="77777777" w:rsidR="00BA797F" w:rsidRDefault="00000000">
            <w:pPr>
              <w:keepNext/>
              <w:keepLines/>
              <w:spacing w:after="0" w:line="240" w:lineRule="auto"/>
              <w:jc w:val="right"/>
            </w:pPr>
            <w:r>
              <w:rPr>
                <w:sz w:val="18"/>
              </w:rPr>
              <w:t>537.592,54</w:t>
            </w:r>
          </w:p>
        </w:tc>
        <w:tc>
          <w:tcPr>
            <w:tcW w:w="1860" w:type="dxa"/>
            <w:tcMar>
              <w:top w:w="0" w:type="dxa"/>
              <w:bottom w:w="0" w:type="dxa"/>
            </w:tcMar>
            <w:vAlign w:val="center"/>
          </w:tcPr>
          <w:p w14:paraId="61E1AC4F" w14:textId="77777777" w:rsidR="00BA797F" w:rsidRDefault="00000000">
            <w:pPr>
              <w:keepNext/>
              <w:keepLines/>
              <w:spacing w:after="0" w:line="240" w:lineRule="auto"/>
              <w:jc w:val="right"/>
            </w:pPr>
            <w:r>
              <w:rPr>
                <w:sz w:val="18"/>
              </w:rPr>
              <w:t>650.847,01</w:t>
            </w:r>
          </w:p>
        </w:tc>
        <w:tc>
          <w:tcPr>
            <w:tcW w:w="700" w:type="dxa"/>
            <w:tcMar>
              <w:top w:w="0" w:type="dxa"/>
              <w:bottom w:w="0" w:type="dxa"/>
            </w:tcMar>
            <w:vAlign w:val="center"/>
          </w:tcPr>
          <w:p w14:paraId="299C353B" w14:textId="77777777" w:rsidR="00BA797F" w:rsidRDefault="00000000">
            <w:pPr>
              <w:keepNext/>
              <w:keepLines/>
              <w:spacing w:after="0" w:line="240" w:lineRule="auto"/>
              <w:jc w:val="right"/>
            </w:pPr>
            <w:r>
              <w:rPr>
                <w:sz w:val="18"/>
              </w:rPr>
              <w:t>121,1</w:t>
            </w:r>
          </w:p>
        </w:tc>
      </w:tr>
      <w:tr w:rsidR="00BA797F" w14:paraId="1AE957C4" w14:textId="77777777">
        <w:tblPrEx>
          <w:tblCellMar>
            <w:top w:w="0" w:type="dxa"/>
            <w:bottom w:w="0" w:type="dxa"/>
          </w:tblCellMar>
        </w:tblPrEx>
        <w:trPr>
          <w:cantSplit/>
          <w:trHeight w:val="560"/>
        </w:trPr>
        <w:tc>
          <w:tcPr>
            <w:tcW w:w="700" w:type="dxa"/>
            <w:tcMar>
              <w:top w:w="0" w:type="dxa"/>
              <w:bottom w:w="0" w:type="dxa"/>
            </w:tcMar>
            <w:vAlign w:val="center"/>
          </w:tcPr>
          <w:p w14:paraId="3333628B" w14:textId="77777777" w:rsidR="00BA797F" w:rsidRDefault="00BA797F">
            <w:pPr>
              <w:keepNext/>
              <w:keepLines/>
              <w:spacing w:after="0" w:line="240" w:lineRule="auto"/>
            </w:pPr>
          </w:p>
        </w:tc>
        <w:tc>
          <w:tcPr>
            <w:tcW w:w="3180" w:type="dxa"/>
            <w:tcMar>
              <w:top w:w="0" w:type="dxa"/>
              <w:bottom w:w="0" w:type="dxa"/>
            </w:tcMar>
            <w:vAlign w:val="center"/>
          </w:tcPr>
          <w:p w14:paraId="555841D1" w14:textId="77777777" w:rsidR="00BA797F"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5E1C82B" w14:textId="77777777" w:rsidR="00BA797F" w:rsidRDefault="00000000">
            <w:pPr>
              <w:keepNext/>
              <w:keepLines/>
              <w:spacing w:after="0" w:line="240" w:lineRule="auto"/>
            </w:pPr>
            <w:r>
              <w:rPr>
                <w:b/>
                <w:sz w:val="18"/>
              </w:rPr>
              <w:t>X001</w:t>
            </w:r>
          </w:p>
        </w:tc>
        <w:tc>
          <w:tcPr>
            <w:tcW w:w="1860" w:type="dxa"/>
            <w:tcMar>
              <w:top w:w="0" w:type="dxa"/>
              <w:bottom w:w="0" w:type="dxa"/>
            </w:tcMar>
            <w:vAlign w:val="center"/>
          </w:tcPr>
          <w:p w14:paraId="31C8D9E9" w14:textId="77777777" w:rsidR="00BA797F" w:rsidRDefault="00000000">
            <w:pPr>
              <w:keepNext/>
              <w:keepLines/>
              <w:spacing w:after="0" w:line="240" w:lineRule="auto"/>
              <w:jc w:val="right"/>
            </w:pPr>
            <w:r>
              <w:rPr>
                <w:b/>
                <w:sz w:val="18"/>
              </w:rPr>
              <w:t>0,00</w:t>
            </w:r>
          </w:p>
        </w:tc>
        <w:tc>
          <w:tcPr>
            <w:tcW w:w="1860" w:type="dxa"/>
            <w:tcMar>
              <w:top w:w="0" w:type="dxa"/>
              <w:bottom w:w="0" w:type="dxa"/>
            </w:tcMar>
            <w:vAlign w:val="center"/>
          </w:tcPr>
          <w:p w14:paraId="015C93A5" w14:textId="77777777" w:rsidR="00BA797F" w:rsidRDefault="00000000">
            <w:pPr>
              <w:keepNext/>
              <w:keepLines/>
              <w:spacing w:after="0" w:line="240" w:lineRule="auto"/>
              <w:jc w:val="right"/>
            </w:pPr>
            <w:r>
              <w:rPr>
                <w:b/>
                <w:sz w:val="18"/>
              </w:rPr>
              <w:t>144.907,27</w:t>
            </w:r>
          </w:p>
        </w:tc>
        <w:tc>
          <w:tcPr>
            <w:tcW w:w="700" w:type="dxa"/>
            <w:tcMar>
              <w:top w:w="0" w:type="dxa"/>
              <w:bottom w:w="0" w:type="dxa"/>
            </w:tcMar>
            <w:vAlign w:val="center"/>
          </w:tcPr>
          <w:p w14:paraId="5798C5CE" w14:textId="77777777" w:rsidR="00BA797F" w:rsidRDefault="00000000">
            <w:pPr>
              <w:keepNext/>
              <w:keepLines/>
              <w:spacing w:after="0" w:line="240" w:lineRule="auto"/>
              <w:jc w:val="right"/>
            </w:pPr>
            <w:r>
              <w:rPr>
                <w:b/>
                <w:sz w:val="18"/>
              </w:rPr>
              <w:t>-</w:t>
            </w:r>
          </w:p>
        </w:tc>
      </w:tr>
      <w:tr w:rsidR="00BA797F" w14:paraId="473970C6" w14:textId="77777777">
        <w:tblPrEx>
          <w:tblCellMar>
            <w:top w:w="0" w:type="dxa"/>
            <w:bottom w:w="0" w:type="dxa"/>
          </w:tblCellMar>
        </w:tblPrEx>
        <w:trPr>
          <w:cantSplit/>
          <w:trHeight w:val="560"/>
        </w:trPr>
        <w:tc>
          <w:tcPr>
            <w:tcW w:w="700" w:type="dxa"/>
            <w:tcMar>
              <w:top w:w="0" w:type="dxa"/>
              <w:bottom w:w="0" w:type="dxa"/>
            </w:tcMar>
            <w:vAlign w:val="center"/>
          </w:tcPr>
          <w:p w14:paraId="04D8B6AD" w14:textId="77777777" w:rsidR="00BA797F" w:rsidRDefault="00000000">
            <w:pPr>
              <w:keepNext/>
              <w:keepLines/>
              <w:spacing w:after="0" w:line="240" w:lineRule="auto"/>
            </w:pPr>
            <w:r>
              <w:rPr>
                <w:sz w:val="18"/>
              </w:rPr>
              <w:t>7</w:t>
            </w:r>
          </w:p>
        </w:tc>
        <w:tc>
          <w:tcPr>
            <w:tcW w:w="3180" w:type="dxa"/>
            <w:tcMar>
              <w:top w:w="0" w:type="dxa"/>
              <w:bottom w:w="0" w:type="dxa"/>
            </w:tcMar>
            <w:vAlign w:val="center"/>
          </w:tcPr>
          <w:p w14:paraId="08E4AE5E" w14:textId="77777777" w:rsidR="00BA797F"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802035F" w14:textId="77777777" w:rsidR="00BA797F" w:rsidRDefault="00000000">
            <w:pPr>
              <w:keepNext/>
              <w:keepLines/>
              <w:spacing w:after="0" w:line="240" w:lineRule="auto"/>
            </w:pPr>
            <w:r>
              <w:rPr>
                <w:sz w:val="18"/>
              </w:rPr>
              <w:t>7</w:t>
            </w:r>
          </w:p>
        </w:tc>
        <w:tc>
          <w:tcPr>
            <w:tcW w:w="1860" w:type="dxa"/>
            <w:tcMar>
              <w:top w:w="0" w:type="dxa"/>
              <w:bottom w:w="0" w:type="dxa"/>
            </w:tcMar>
            <w:vAlign w:val="center"/>
          </w:tcPr>
          <w:p w14:paraId="10482855" w14:textId="77777777" w:rsidR="00BA797F" w:rsidRDefault="00000000">
            <w:pPr>
              <w:keepNext/>
              <w:keepLines/>
              <w:spacing w:after="0" w:line="240" w:lineRule="auto"/>
              <w:jc w:val="right"/>
            </w:pPr>
            <w:r>
              <w:rPr>
                <w:sz w:val="18"/>
              </w:rPr>
              <w:t>53,00</w:t>
            </w:r>
          </w:p>
        </w:tc>
        <w:tc>
          <w:tcPr>
            <w:tcW w:w="1860" w:type="dxa"/>
            <w:tcMar>
              <w:top w:w="0" w:type="dxa"/>
              <w:bottom w:w="0" w:type="dxa"/>
            </w:tcMar>
            <w:vAlign w:val="center"/>
          </w:tcPr>
          <w:p w14:paraId="3B401008" w14:textId="77777777" w:rsidR="00BA797F" w:rsidRDefault="00000000">
            <w:pPr>
              <w:keepNext/>
              <w:keepLines/>
              <w:spacing w:after="0" w:line="240" w:lineRule="auto"/>
              <w:jc w:val="right"/>
            </w:pPr>
            <w:r>
              <w:rPr>
                <w:sz w:val="18"/>
              </w:rPr>
              <w:t>210,00</w:t>
            </w:r>
          </w:p>
        </w:tc>
        <w:tc>
          <w:tcPr>
            <w:tcW w:w="700" w:type="dxa"/>
            <w:tcMar>
              <w:top w:w="0" w:type="dxa"/>
              <w:bottom w:w="0" w:type="dxa"/>
            </w:tcMar>
            <w:vAlign w:val="center"/>
          </w:tcPr>
          <w:p w14:paraId="23B3E3DE" w14:textId="77777777" w:rsidR="00BA797F" w:rsidRDefault="00000000">
            <w:pPr>
              <w:keepNext/>
              <w:keepLines/>
              <w:spacing w:after="0" w:line="240" w:lineRule="auto"/>
              <w:jc w:val="right"/>
            </w:pPr>
            <w:r>
              <w:rPr>
                <w:sz w:val="18"/>
              </w:rPr>
              <w:t>396,2</w:t>
            </w:r>
          </w:p>
        </w:tc>
      </w:tr>
      <w:tr w:rsidR="00BA797F" w14:paraId="6DF5BD4C" w14:textId="77777777">
        <w:tblPrEx>
          <w:tblCellMar>
            <w:top w:w="0" w:type="dxa"/>
            <w:bottom w:w="0" w:type="dxa"/>
          </w:tblCellMar>
        </w:tblPrEx>
        <w:trPr>
          <w:cantSplit/>
          <w:trHeight w:val="560"/>
        </w:trPr>
        <w:tc>
          <w:tcPr>
            <w:tcW w:w="700" w:type="dxa"/>
            <w:tcMar>
              <w:top w:w="0" w:type="dxa"/>
              <w:bottom w:w="0" w:type="dxa"/>
            </w:tcMar>
            <w:vAlign w:val="center"/>
          </w:tcPr>
          <w:p w14:paraId="01A82D75" w14:textId="77777777" w:rsidR="00BA797F" w:rsidRDefault="00000000">
            <w:pPr>
              <w:keepNext/>
              <w:keepLines/>
              <w:spacing w:after="0" w:line="240" w:lineRule="auto"/>
            </w:pPr>
            <w:r>
              <w:rPr>
                <w:sz w:val="18"/>
              </w:rPr>
              <w:t>4</w:t>
            </w:r>
          </w:p>
        </w:tc>
        <w:tc>
          <w:tcPr>
            <w:tcW w:w="3180" w:type="dxa"/>
            <w:tcMar>
              <w:top w:w="0" w:type="dxa"/>
              <w:bottom w:w="0" w:type="dxa"/>
            </w:tcMar>
            <w:vAlign w:val="center"/>
          </w:tcPr>
          <w:p w14:paraId="2BE48698" w14:textId="77777777" w:rsidR="00BA797F"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90C4BAF" w14:textId="77777777" w:rsidR="00BA797F" w:rsidRDefault="00000000">
            <w:pPr>
              <w:keepNext/>
              <w:keepLines/>
              <w:spacing w:after="0" w:line="240" w:lineRule="auto"/>
            </w:pPr>
            <w:r>
              <w:rPr>
                <w:sz w:val="18"/>
              </w:rPr>
              <w:t>4</w:t>
            </w:r>
          </w:p>
        </w:tc>
        <w:tc>
          <w:tcPr>
            <w:tcW w:w="1860" w:type="dxa"/>
            <w:tcMar>
              <w:top w:w="0" w:type="dxa"/>
              <w:bottom w:w="0" w:type="dxa"/>
            </w:tcMar>
            <w:vAlign w:val="center"/>
          </w:tcPr>
          <w:p w14:paraId="67C07571" w14:textId="77777777" w:rsidR="00BA797F" w:rsidRDefault="00000000">
            <w:pPr>
              <w:keepNext/>
              <w:keepLines/>
              <w:spacing w:after="0" w:line="240" w:lineRule="auto"/>
              <w:jc w:val="right"/>
            </w:pPr>
            <w:r>
              <w:rPr>
                <w:sz w:val="18"/>
              </w:rPr>
              <w:t>61.642,01</w:t>
            </w:r>
          </w:p>
        </w:tc>
        <w:tc>
          <w:tcPr>
            <w:tcW w:w="1860" w:type="dxa"/>
            <w:tcMar>
              <w:top w:w="0" w:type="dxa"/>
              <w:bottom w:w="0" w:type="dxa"/>
            </w:tcMar>
            <w:vAlign w:val="center"/>
          </w:tcPr>
          <w:p w14:paraId="5D6651D5" w14:textId="77777777" w:rsidR="00BA797F" w:rsidRDefault="00000000">
            <w:pPr>
              <w:keepNext/>
              <w:keepLines/>
              <w:spacing w:after="0" w:line="240" w:lineRule="auto"/>
              <w:jc w:val="right"/>
            </w:pPr>
            <w:r>
              <w:rPr>
                <w:sz w:val="18"/>
              </w:rPr>
              <w:t>88.405,50</w:t>
            </w:r>
          </w:p>
        </w:tc>
        <w:tc>
          <w:tcPr>
            <w:tcW w:w="700" w:type="dxa"/>
            <w:tcMar>
              <w:top w:w="0" w:type="dxa"/>
              <w:bottom w:w="0" w:type="dxa"/>
            </w:tcMar>
            <w:vAlign w:val="center"/>
          </w:tcPr>
          <w:p w14:paraId="395E33CB" w14:textId="77777777" w:rsidR="00BA797F" w:rsidRDefault="00000000">
            <w:pPr>
              <w:keepNext/>
              <w:keepLines/>
              <w:spacing w:after="0" w:line="240" w:lineRule="auto"/>
              <w:jc w:val="right"/>
            </w:pPr>
            <w:r>
              <w:rPr>
                <w:sz w:val="18"/>
              </w:rPr>
              <w:t>143,4</w:t>
            </w:r>
          </w:p>
        </w:tc>
      </w:tr>
      <w:tr w:rsidR="00BA797F" w14:paraId="4A8AF936" w14:textId="77777777">
        <w:tblPrEx>
          <w:tblCellMar>
            <w:top w:w="0" w:type="dxa"/>
            <w:bottom w:w="0" w:type="dxa"/>
          </w:tblCellMar>
        </w:tblPrEx>
        <w:trPr>
          <w:cantSplit/>
          <w:trHeight w:val="560"/>
        </w:trPr>
        <w:tc>
          <w:tcPr>
            <w:tcW w:w="700" w:type="dxa"/>
            <w:tcMar>
              <w:top w:w="0" w:type="dxa"/>
              <w:bottom w:w="0" w:type="dxa"/>
            </w:tcMar>
            <w:vAlign w:val="center"/>
          </w:tcPr>
          <w:p w14:paraId="076C028D" w14:textId="77777777" w:rsidR="00BA797F" w:rsidRDefault="00BA797F">
            <w:pPr>
              <w:keepNext/>
              <w:keepLines/>
              <w:spacing w:after="0" w:line="240" w:lineRule="auto"/>
            </w:pPr>
          </w:p>
        </w:tc>
        <w:tc>
          <w:tcPr>
            <w:tcW w:w="3180" w:type="dxa"/>
            <w:tcMar>
              <w:top w:w="0" w:type="dxa"/>
              <w:bottom w:w="0" w:type="dxa"/>
            </w:tcMar>
            <w:vAlign w:val="center"/>
          </w:tcPr>
          <w:p w14:paraId="55AA8B1A" w14:textId="77777777" w:rsidR="00BA797F"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AA740E9" w14:textId="77777777" w:rsidR="00BA797F" w:rsidRDefault="00000000">
            <w:pPr>
              <w:keepNext/>
              <w:keepLines/>
              <w:spacing w:after="0" w:line="240" w:lineRule="auto"/>
            </w:pPr>
            <w:r>
              <w:rPr>
                <w:b/>
                <w:sz w:val="18"/>
              </w:rPr>
              <w:t>Y002</w:t>
            </w:r>
          </w:p>
        </w:tc>
        <w:tc>
          <w:tcPr>
            <w:tcW w:w="1860" w:type="dxa"/>
            <w:tcMar>
              <w:top w:w="0" w:type="dxa"/>
              <w:bottom w:w="0" w:type="dxa"/>
            </w:tcMar>
            <w:vAlign w:val="center"/>
          </w:tcPr>
          <w:p w14:paraId="4D71E3AA" w14:textId="77777777" w:rsidR="00BA797F" w:rsidRDefault="00000000">
            <w:pPr>
              <w:keepNext/>
              <w:keepLines/>
              <w:spacing w:after="0" w:line="240" w:lineRule="auto"/>
              <w:jc w:val="right"/>
            </w:pPr>
            <w:r>
              <w:rPr>
                <w:b/>
                <w:sz w:val="18"/>
              </w:rPr>
              <w:t>61.589,01</w:t>
            </w:r>
          </w:p>
        </w:tc>
        <w:tc>
          <w:tcPr>
            <w:tcW w:w="1860" w:type="dxa"/>
            <w:tcMar>
              <w:top w:w="0" w:type="dxa"/>
              <w:bottom w:w="0" w:type="dxa"/>
            </w:tcMar>
            <w:vAlign w:val="center"/>
          </w:tcPr>
          <w:p w14:paraId="2537D35E" w14:textId="77777777" w:rsidR="00BA797F" w:rsidRDefault="00000000">
            <w:pPr>
              <w:keepNext/>
              <w:keepLines/>
              <w:spacing w:after="0" w:line="240" w:lineRule="auto"/>
              <w:jc w:val="right"/>
            </w:pPr>
            <w:r>
              <w:rPr>
                <w:b/>
                <w:sz w:val="18"/>
              </w:rPr>
              <w:t>88.195,50</w:t>
            </w:r>
          </w:p>
        </w:tc>
        <w:tc>
          <w:tcPr>
            <w:tcW w:w="700" w:type="dxa"/>
            <w:tcMar>
              <w:top w:w="0" w:type="dxa"/>
              <w:bottom w:w="0" w:type="dxa"/>
            </w:tcMar>
            <w:vAlign w:val="center"/>
          </w:tcPr>
          <w:p w14:paraId="69B4721F" w14:textId="77777777" w:rsidR="00BA797F" w:rsidRDefault="00000000">
            <w:pPr>
              <w:keepNext/>
              <w:keepLines/>
              <w:spacing w:after="0" w:line="240" w:lineRule="auto"/>
              <w:jc w:val="right"/>
            </w:pPr>
            <w:r>
              <w:rPr>
                <w:b/>
                <w:sz w:val="18"/>
              </w:rPr>
              <w:t>143,2</w:t>
            </w:r>
          </w:p>
        </w:tc>
      </w:tr>
      <w:tr w:rsidR="00BA797F" w14:paraId="0801471A" w14:textId="77777777">
        <w:tblPrEx>
          <w:tblCellMar>
            <w:top w:w="0" w:type="dxa"/>
            <w:bottom w:w="0" w:type="dxa"/>
          </w:tblCellMar>
        </w:tblPrEx>
        <w:trPr>
          <w:cantSplit/>
          <w:trHeight w:val="560"/>
        </w:trPr>
        <w:tc>
          <w:tcPr>
            <w:tcW w:w="700" w:type="dxa"/>
            <w:tcMar>
              <w:top w:w="0" w:type="dxa"/>
              <w:bottom w:w="0" w:type="dxa"/>
            </w:tcMar>
            <w:vAlign w:val="center"/>
          </w:tcPr>
          <w:p w14:paraId="50876050" w14:textId="77777777" w:rsidR="00BA797F" w:rsidRDefault="00000000">
            <w:pPr>
              <w:keepNext/>
              <w:keepLines/>
              <w:spacing w:after="0" w:line="240" w:lineRule="auto"/>
            </w:pPr>
            <w:r>
              <w:rPr>
                <w:sz w:val="18"/>
              </w:rPr>
              <w:t>8</w:t>
            </w:r>
          </w:p>
        </w:tc>
        <w:tc>
          <w:tcPr>
            <w:tcW w:w="3180" w:type="dxa"/>
            <w:tcMar>
              <w:top w:w="0" w:type="dxa"/>
              <w:bottom w:w="0" w:type="dxa"/>
            </w:tcMar>
            <w:vAlign w:val="center"/>
          </w:tcPr>
          <w:p w14:paraId="7486B2C7" w14:textId="77777777" w:rsidR="00BA797F"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E8574B3" w14:textId="77777777" w:rsidR="00BA797F" w:rsidRDefault="00000000">
            <w:pPr>
              <w:keepNext/>
              <w:keepLines/>
              <w:spacing w:after="0" w:line="240" w:lineRule="auto"/>
            </w:pPr>
            <w:r>
              <w:rPr>
                <w:sz w:val="18"/>
              </w:rPr>
              <w:t>8</w:t>
            </w:r>
          </w:p>
        </w:tc>
        <w:tc>
          <w:tcPr>
            <w:tcW w:w="1860" w:type="dxa"/>
            <w:tcMar>
              <w:top w:w="0" w:type="dxa"/>
              <w:bottom w:w="0" w:type="dxa"/>
            </w:tcMar>
            <w:vAlign w:val="center"/>
          </w:tcPr>
          <w:p w14:paraId="10DAF356" w14:textId="77777777" w:rsidR="00BA797F" w:rsidRDefault="00000000">
            <w:pPr>
              <w:keepNext/>
              <w:keepLines/>
              <w:spacing w:after="0" w:line="240" w:lineRule="auto"/>
              <w:jc w:val="right"/>
            </w:pPr>
            <w:r>
              <w:rPr>
                <w:sz w:val="18"/>
              </w:rPr>
              <w:t>0,00</w:t>
            </w:r>
          </w:p>
        </w:tc>
        <w:tc>
          <w:tcPr>
            <w:tcW w:w="1860" w:type="dxa"/>
            <w:tcMar>
              <w:top w:w="0" w:type="dxa"/>
              <w:bottom w:w="0" w:type="dxa"/>
            </w:tcMar>
            <w:vAlign w:val="center"/>
          </w:tcPr>
          <w:p w14:paraId="3AB5EAE8" w14:textId="77777777" w:rsidR="00BA797F" w:rsidRDefault="00000000">
            <w:pPr>
              <w:keepNext/>
              <w:keepLines/>
              <w:spacing w:after="0" w:line="240" w:lineRule="auto"/>
              <w:jc w:val="right"/>
            </w:pPr>
            <w:r>
              <w:rPr>
                <w:sz w:val="18"/>
              </w:rPr>
              <w:t>0,00</w:t>
            </w:r>
          </w:p>
        </w:tc>
        <w:tc>
          <w:tcPr>
            <w:tcW w:w="700" w:type="dxa"/>
            <w:tcMar>
              <w:top w:w="0" w:type="dxa"/>
              <w:bottom w:w="0" w:type="dxa"/>
            </w:tcMar>
            <w:vAlign w:val="center"/>
          </w:tcPr>
          <w:p w14:paraId="700196C0" w14:textId="77777777" w:rsidR="00BA797F" w:rsidRDefault="00000000">
            <w:pPr>
              <w:keepNext/>
              <w:keepLines/>
              <w:spacing w:after="0" w:line="240" w:lineRule="auto"/>
              <w:jc w:val="right"/>
            </w:pPr>
            <w:r>
              <w:rPr>
                <w:sz w:val="18"/>
              </w:rPr>
              <w:t>-</w:t>
            </w:r>
          </w:p>
        </w:tc>
      </w:tr>
      <w:tr w:rsidR="00BA797F" w14:paraId="3FAA2B59" w14:textId="77777777">
        <w:tblPrEx>
          <w:tblCellMar>
            <w:top w:w="0" w:type="dxa"/>
            <w:bottom w:w="0" w:type="dxa"/>
          </w:tblCellMar>
        </w:tblPrEx>
        <w:trPr>
          <w:cantSplit/>
          <w:trHeight w:val="560"/>
        </w:trPr>
        <w:tc>
          <w:tcPr>
            <w:tcW w:w="700" w:type="dxa"/>
            <w:tcMar>
              <w:top w:w="0" w:type="dxa"/>
              <w:bottom w:w="0" w:type="dxa"/>
            </w:tcMar>
            <w:vAlign w:val="center"/>
          </w:tcPr>
          <w:p w14:paraId="341173F5" w14:textId="77777777" w:rsidR="00BA797F" w:rsidRDefault="00000000">
            <w:pPr>
              <w:keepNext/>
              <w:keepLines/>
              <w:spacing w:after="0" w:line="240" w:lineRule="auto"/>
            </w:pPr>
            <w:r>
              <w:rPr>
                <w:sz w:val="18"/>
              </w:rPr>
              <w:t>5</w:t>
            </w:r>
          </w:p>
        </w:tc>
        <w:tc>
          <w:tcPr>
            <w:tcW w:w="3180" w:type="dxa"/>
            <w:tcMar>
              <w:top w:w="0" w:type="dxa"/>
              <w:bottom w:w="0" w:type="dxa"/>
            </w:tcMar>
            <w:vAlign w:val="center"/>
          </w:tcPr>
          <w:p w14:paraId="1C9A4ABC" w14:textId="77777777" w:rsidR="00BA797F"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631C1C5" w14:textId="77777777" w:rsidR="00BA797F" w:rsidRDefault="00000000">
            <w:pPr>
              <w:keepNext/>
              <w:keepLines/>
              <w:spacing w:after="0" w:line="240" w:lineRule="auto"/>
            </w:pPr>
            <w:r>
              <w:rPr>
                <w:sz w:val="18"/>
              </w:rPr>
              <w:t>5</w:t>
            </w:r>
          </w:p>
        </w:tc>
        <w:tc>
          <w:tcPr>
            <w:tcW w:w="1860" w:type="dxa"/>
            <w:tcMar>
              <w:top w:w="0" w:type="dxa"/>
              <w:bottom w:w="0" w:type="dxa"/>
            </w:tcMar>
            <w:vAlign w:val="center"/>
          </w:tcPr>
          <w:p w14:paraId="1DE39A9B" w14:textId="77777777" w:rsidR="00BA797F" w:rsidRDefault="00000000">
            <w:pPr>
              <w:keepNext/>
              <w:keepLines/>
              <w:spacing w:after="0" w:line="240" w:lineRule="auto"/>
              <w:jc w:val="right"/>
            </w:pPr>
            <w:r>
              <w:rPr>
                <w:sz w:val="18"/>
              </w:rPr>
              <w:t>0,00</w:t>
            </w:r>
          </w:p>
        </w:tc>
        <w:tc>
          <w:tcPr>
            <w:tcW w:w="1860" w:type="dxa"/>
            <w:tcMar>
              <w:top w:w="0" w:type="dxa"/>
              <w:bottom w:w="0" w:type="dxa"/>
            </w:tcMar>
            <w:vAlign w:val="center"/>
          </w:tcPr>
          <w:p w14:paraId="3FAEDF56" w14:textId="77777777" w:rsidR="00BA797F" w:rsidRDefault="00000000">
            <w:pPr>
              <w:keepNext/>
              <w:keepLines/>
              <w:spacing w:after="0" w:line="240" w:lineRule="auto"/>
              <w:jc w:val="right"/>
            </w:pPr>
            <w:r>
              <w:rPr>
                <w:sz w:val="18"/>
              </w:rPr>
              <w:t>0,00</w:t>
            </w:r>
          </w:p>
        </w:tc>
        <w:tc>
          <w:tcPr>
            <w:tcW w:w="700" w:type="dxa"/>
            <w:tcMar>
              <w:top w:w="0" w:type="dxa"/>
              <w:bottom w:w="0" w:type="dxa"/>
            </w:tcMar>
            <w:vAlign w:val="center"/>
          </w:tcPr>
          <w:p w14:paraId="32BAB478" w14:textId="77777777" w:rsidR="00BA797F" w:rsidRDefault="00000000">
            <w:pPr>
              <w:keepNext/>
              <w:keepLines/>
              <w:spacing w:after="0" w:line="240" w:lineRule="auto"/>
              <w:jc w:val="right"/>
            </w:pPr>
            <w:r>
              <w:rPr>
                <w:sz w:val="18"/>
              </w:rPr>
              <w:t>-</w:t>
            </w:r>
          </w:p>
        </w:tc>
      </w:tr>
      <w:tr w:rsidR="00BA797F" w14:paraId="003DFE57" w14:textId="77777777">
        <w:tblPrEx>
          <w:tblCellMar>
            <w:top w:w="0" w:type="dxa"/>
            <w:bottom w:w="0" w:type="dxa"/>
          </w:tblCellMar>
        </w:tblPrEx>
        <w:trPr>
          <w:cantSplit/>
          <w:trHeight w:val="560"/>
        </w:trPr>
        <w:tc>
          <w:tcPr>
            <w:tcW w:w="700" w:type="dxa"/>
            <w:tcMar>
              <w:top w:w="0" w:type="dxa"/>
              <w:bottom w:w="0" w:type="dxa"/>
            </w:tcMar>
            <w:vAlign w:val="center"/>
          </w:tcPr>
          <w:p w14:paraId="7E4DC14E" w14:textId="77777777" w:rsidR="00BA797F" w:rsidRDefault="00BA797F">
            <w:pPr>
              <w:keepNext/>
              <w:keepLines/>
              <w:spacing w:after="0" w:line="240" w:lineRule="auto"/>
            </w:pPr>
          </w:p>
        </w:tc>
        <w:tc>
          <w:tcPr>
            <w:tcW w:w="3180" w:type="dxa"/>
            <w:tcMar>
              <w:top w:w="0" w:type="dxa"/>
              <w:bottom w:w="0" w:type="dxa"/>
            </w:tcMar>
            <w:vAlign w:val="center"/>
          </w:tcPr>
          <w:p w14:paraId="07FDD496" w14:textId="77777777" w:rsidR="00BA797F"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FD12CB9" w14:textId="77777777" w:rsidR="00BA797F" w:rsidRDefault="00000000">
            <w:pPr>
              <w:keepNext/>
              <w:keepLines/>
              <w:spacing w:after="0" w:line="240" w:lineRule="auto"/>
            </w:pPr>
            <w:r>
              <w:rPr>
                <w:b/>
                <w:sz w:val="18"/>
              </w:rPr>
              <w:t>X003, Y003</w:t>
            </w:r>
          </w:p>
        </w:tc>
        <w:tc>
          <w:tcPr>
            <w:tcW w:w="1860" w:type="dxa"/>
            <w:tcMar>
              <w:top w:w="0" w:type="dxa"/>
              <w:bottom w:w="0" w:type="dxa"/>
            </w:tcMar>
            <w:vAlign w:val="center"/>
          </w:tcPr>
          <w:p w14:paraId="06AD91D2" w14:textId="77777777" w:rsidR="00BA797F" w:rsidRDefault="00000000">
            <w:pPr>
              <w:keepNext/>
              <w:keepLines/>
              <w:spacing w:after="0" w:line="240" w:lineRule="auto"/>
              <w:jc w:val="right"/>
            </w:pPr>
            <w:r>
              <w:rPr>
                <w:b/>
                <w:sz w:val="18"/>
              </w:rPr>
              <w:t>0,00</w:t>
            </w:r>
          </w:p>
        </w:tc>
        <w:tc>
          <w:tcPr>
            <w:tcW w:w="1860" w:type="dxa"/>
            <w:tcMar>
              <w:top w:w="0" w:type="dxa"/>
              <w:bottom w:w="0" w:type="dxa"/>
            </w:tcMar>
            <w:vAlign w:val="center"/>
          </w:tcPr>
          <w:p w14:paraId="4BBFEC3F" w14:textId="77777777" w:rsidR="00BA797F" w:rsidRDefault="00000000">
            <w:pPr>
              <w:keepNext/>
              <w:keepLines/>
              <w:spacing w:after="0" w:line="240" w:lineRule="auto"/>
              <w:jc w:val="right"/>
            </w:pPr>
            <w:r>
              <w:rPr>
                <w:b/>
                <w:sz w:val="18"/>
              </w:rPr>
              <w:t>0,00</w:t>
            </w:r>
          </w:p>
        </w:tc>
        <w:tc>
          <w:tcPr>
            <w:tcW w:w="700" w:type="dxa"/>
            <w:tcMar>
              <w:top w:w="0" w:type="dxa"/>
              <w:bottom w:w="0" w:type="dxa"/>
            </w:tcMar>
            <w:vAlign w:val="center"/>
          </w:tcPr>
          <w:p w14:paraId="1CD70741" w14:textId="77777777" w:rsidR="00BA797F" w:rsidRDefault="00000000">
            <w:pPr>
              <w:keepNext/>
              <w:keepLines/>
              <w:spacing w:after="0" w:line="240" w:lineRule="auto"/>
              <w:jc w:val="right"/>
            </w:pPr>
            <w:r>
              <w:rPr>
                <w:b/>
                <w:sz w:val="18"/>
              </w:rPr>
              <w:t>-</w:t>
            </w:r>
          </w:p>
        </w:tc>
      </w:tr>
      <w:tr w:rsidR="00BA797F" w14:paraId="023B3749" w14:textId="77777777">
        <w:tblPrEx>
          <w:tblCellMar>
            <w:top w:w="0" w:type="dxa"/>
            <w:bottom w:w="0" w:type="dxa"/>
          </w:tblCellMar>
        </w:tblPrEx>
        <w:trPr>
          <w:cantSplit/>
          <w:trHeight w:val="560"/>
        </w:trPr>
        <w:tc>
          <w:tcPr>
            <w:tcW w:w="700" w:type="dxa"/>
            <w:tcMar>
              <w:top w:w="0" w:type="dxa"/>
              <w:bottom w:w="0" w:type="dxa"/>
            </w:tcMar>
            <w:vAlign w:val="center"/>
          </w:tcPr>
          <w:p w14:paraId="65530C25" w14:textId="77777777" w:rsidR="00BA797F" w:rsidRDefault="00BA797F">
            <w:pPr>
              <w:keepNext/>
              <w:keepLines/>
              <w:spacing w:after="0" w:line="240" w:lineRule="auto"/>
            </w:pPr>
          </w:p>
        </w:tc>
        <w:tc>
          <w:tcPr>
            <w:tcW w:w="3180" w:type="dxa"/>
            <w:tcMar>
              <w:top w:w="0" w:type="dxa"/>
              <w:bottom w:w="0" w:type="dxa"/>
            </w:tcMar>
            <w:vAlign w:val="center"/>
          </w:tcPr>
          <w:p w14:paraId="3E05DEA7" w14:textId="77777777" w:rsidR="00BA797F"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023B9486" w14:textId="77777777" w:rsidR="00BA797F" w:rsidRDefault="00000000">
            <w:pPr>
              <w:keepNext/>
              <w:keepLines/>
              <w:spacing w:after="0" w:line="240" w:lineRule="auto"/>
            </w:pPr>
            <w:r>
              <w:rPr>
                <w:b/>
                <w:sz w:val="18"/>
              </w:rPr>
              <w:t>X005</w:t>
            </w:r>
          </w:p>
        </w:tc>
        <w:tc>
          <w:tcPr>
            <w:tcW w:w="1860" w:type="dxa"/>
            <w:tcMar>
              <w:top w:w="0" w:type="dxa"/>
              <w:bottom w:w="0" w:type="dxa"/>
            </w:tcMar>
            <w:vAlign w:val="center"/>
          </w:tcPr>
          <w:p w14:paraId="42BD82B7" w14:textId="77777777" w:rsidR="00BA797F" w:rsidRDefault="00000000">
            <w:pPr>
              <w:keepNext/>
              <w:keepLines/>
              <w:spacing w:after="0" w:line="240" w:lineRule="auto"/>
              <w:jc w:val="right"/>
            </w:pPr>
            <w:r>
              <w:rPr>
                <w:b/>
                <w:sz w:val="18"/>
              </w:rPr>
              <w:t>0,00</w:t>
            </w:r>
          </w:p>
        </w:tc>
        <w:tc>
          <w:tcPr>
            <w:tcW w:w="1860" w:type="dxa"/>
            <w:tcMar>
              <w:top w:w="0" w:type="dxa"/>
              <w:bottom w:w="0" w:type="dxa"/>
            </w:tcMar>
            <w:vAlign w:val="center"/>
          </w:tcPr>
          <w:p w14:paraId="7B4C7C7F" w14:textId="77777777" w:rsidR="00BA797F" w:rsidRDefault="00000000">
            <w:pPr>
              <w:keepNext/>
              <w:keepLines/>
              <w:spacing w:after="0" w:line="240" w:lineRule="auto"/>
              <w:jc w:val="right"/>
            </w:pPr>
            <w:r>
              <w:rPr>
                <w:b/>
                <w:sz w:val="18"/>
              </w:rPr>
              <w:t>56.711,77</w:t>
            </w:r>
          </w:p>
        </w:tc>
        <w:tc>
          <w:tcPr>
            <w:tcW w:w="700" w:type="dxa"/>
            <w:tcMar>
              <w:top w:w="0" w:type="dxa"/>
              <w:bottom w:w="0" w:type="dxa"/>
            </w:tcMar>
            <w:vAlign w:val="center"/>
          </w:tcPr>
          <w:p w14:paraId="4051190F" w14:textId="77777777" w:rsidR="00BA797F" w:rsidRDefault="00000000">
            <w:pPr>
              <w:keepNext/>
              <w:keepLines/>
              <w:spacing w:after="0" w:line="240" w:lineRule="auto"/>
              <w:jc w:val="right"/>
            </w:pPr>
            <w:r>
              <w:rPr>
                <w:b/>
                <w:sz w:val="18"/>
              </w:rPr>
              <w:t>-</w:t>
            </w:r>
          </w:p>
        </w:tc>
      </w:tr>
    </w:tbl>
    <w:p w14:paraId="34C48F09" w14:textId="77777777" w:rsidR="00BA797F" w:rsidRDefault="00BA797F">
      <w:pPr>
        <w:spacing w:after="0"/>
      </w:pPr>
    </w:p>
    <w:p w14:paraId="73B029DB" w14:textId="77777777" w:rsidR="00BA797F" w:rsidRDefault="00000000">
      <w:r>
        <w:t xml:space="preserve">POGON - Zagrebački centar za nezavisnu kulturu i mlade osnovan je kao ustanova i upisan u registar Trgovačkog suda u Zagrebu dana 23.02.2009. godine pod matičnim brojem subjekta upisa (MBS) 080687888. Izvršena je promjena naziva, promjena podataka osnivača i promjena funkcije zastupnika u ustanovi 15.12.2010. upisom u registar Trgovačkog suda u Zagrebu. Izvršena je promjena zastupnika ustanove u Sudski registar, provedena kod </w:t>
      </w:r>
      <w:r>
        <w:lastRenderedPageBreak/>
        <w:t>Trgovačkog suda u Zagrebu pod poslovnim brojem:Tt-17/20534-2 od 19.05.2017. godine, redni broj upisa 7.</w:t>
      </w:r>
    </w:p>
    <w:p w14:paraId="4842A261" w14:textId="77777777" w:rsidR="00BA797F" w:rsidRDefault="00000000">
      <w:r>
        <w:t>Izvršena je promjena osobnih podataka zastupnika ustanove u Sudski registar, provedena kod Trgovačkog suda u Zagrebu pod poslovnim brojem Tt-21/37648-1 od 23.8.2021. godine redni broj upisa 8.</w:t>
      </w:r>
    </w:p>
    <w:p w14:paraId="3F5C4BC3" w14:textId="77777777" w:rsidR="00BA797F" w:rsidRDefault="00000000">
      <w:r>
        <w:t>Izvršena je promjena, upis tvrtke, upisan je skraćeni naziv ustanove, provedena kod Trgovačkog suda u Zagrebu pod poslovnim brojem: Tt-22/52722-2 od 05.12.2022., redni broj upisa 9.Sjedište: Kneza Mislava 11, 10000 Zagreb., OIB: 33610682592 Osnivači: GRAD ZAGREB i OPERACIJA GRAD Upisan u registar korisnika proračuna 12.06.2009. godine pod rednim brojem RKP: 44428</w:t>
      </w:r>
    </w:p>
    <w:p w14:paraId="52D36097" w14:textId="77777777" w:rsidR="00BA797F" w:rsidRDefault="00000000">
      <w:r>
        <w:t>Izvori financiranja: GRAD 91%, POMOĆI EU, VLASTITA, DONACIJE 8%, Država 1%</w:t>
      </w:r>
    </w:p>
    <w:p w14:paraId="122D5826" w14:textId="77777777" w:rsidR="00BA797F" w:rsidRDefault="00000000">
      <w:r>
        <w:t>Oznaka razine: 21 - Proračunski korisnik JLP(R)S, Razdjel: nema razdjela</w:t>
      </w:r>
    </w:p>
    <w:p w14:paraId="709B74BB" w14:textId="77777777" w:rsidR="00BA797F" w:rsidRDefault="00000000">
      <w:r>
        <w:t>Šifra županije: 133 - GRAD ZAGREB</w:t>
      </w:r>
    </w:p>
    <w:p w14:paraId="16DA1C5A" w14:textId="77777777" w:rsidR="00BA797F" w:rsidRDefault="00000000">
      <w:r>
        <w:t>Djelatnost: Rad umjetničkih objekata i lokaliteta 90310 - provođenje programa za nezavisnu kulturu te program kulture mladih i za mlade</w:t>
      </w:r>
    </w:p>
    <w:p w14:paraId="487E6A42" w14:textId="77777777" w:rsidR="00BA797F" w:rsidRDefault="00000000">
      <w:r>
        <w:t>Odgovorna osoba proračuna: Janja Sesar, ravnateljica </w:t>
      </w:r>
    </w:p>
    <w:p w14:paraId="34BF3D58" w14:textId="77777777" w:rsidR="00BA797F" w:rsidRDefault="00000000">
      <w:r>
        <w:t>U 2025. godini Pogon je uspješno nastavio s redovnom djelatnošću Centra, odnosno njegovom osnovnom misijom: ustupanjem prostora i tehnike za aktivnosti nezavisne kulture i mladih i to na dvije lokacije, u Pogonu Jedinstvo (Trnjanska struga 34) i u Pogonu Mislavova (Kneza Mislava 18). U sklopu toga je Pogon ugostio veliki broj korisnika koji su u tom periodu realizirali mnogobrojne i raznovrsne izvedbene, vizualne, interdisciplinarne i diskurzivne kulturno-umjetničke programe.</w:t>
      </w:r>
    </w:p>
    <w:p w14:paraId="27A12ADE" w14:textId="77777777" w:rsidR="00BA797F" w:rsidRDefault="00000000">
      <w:r>
        <w:t xml:space="preserve">Osim toga, realizirani su programi u ostalim poljima </w:t>
      </w:r>
      <w:proofErr w:type="spellStart"/>
      <w:r>
        <w:t>Pogonovog</w:t>
      </w:r>
      <w:proofErr w:type="spellEnd"/>
      <w:r>
        <w:t xml:space="preserve"> djelovanja: međunarodnoj suradnji, razvoju publike i angažmanu zajednice te jačanju kapaciteta organizacija i pojedinaca u polju nezavisne kulture i </w:t>
      </w:r>
      <w:proofErr w:type="spellStart"/>
      <w:r>
        <w:t>mladih.U</w:t>
      </w:r>
      <w:proofErr w:type="spellEnd"/>
      <w:r>
        <w:t xml:space="preserve"> sklopu međunarodne suradnje realizirana su planirana gostovanja međunarodnih izvedbenih umjetnika, projekt posvećen dostupnosti kulture i umjetnosti, kao i program rezidencijalne razmjene u suradnji s </w:t>
      </w:r>
      <w:proofErr w:type="spellStart"/>
      <w:r>
        <w:t>Akademie</w:t>
      </w:r>
      <w:proofErr w:type="spellEnd"/>
      <w:r>
        <w:t xml:space="preserve"> </w:t>
      </w:r>
      <w:proofErr w:type="spellStart"/>
      <w:r>
        <w:t>Schloss</w:t>
      </w:r>
      <w:proofErr w:type="spellEnd"/>
      <w:r>
        <w:t xml:space="preserve"> </w:t>
      </w:r>
      <w:proofErr w:type="spellStart"/>
      <w:r>
        <w:t>Solitude</w:t>
      </w:r>
      <w:proofErr w:type="spellEnd"/>
      <w:r>
        <w:t xml:space="preserve">. U sklopu programa podizanja kapaciteta provodio se </w:t>
      </w:r>
      <w:proofErr w:type="spellStart"/>
      <w:r>
        <w:t>Pogonator</w:t>
      </w:r>
      <w:proofErr w:type="spellEnd"/>
      <w:r>
        <w:t xml:space="preserve"> - program podrške izvedbenim umjetnicima, edukacije u polju tehničke produkcije te raznovrsni programi razvoja publike i angažmana zajednice u zgradi Pogona Jedinstvo i dvorištu (među ostalima praznični programi za srednjoškolce, kino projekcije, društveno-kulturne radionice, Jedinstvena vrtna zabava i dr.). Detaljne informacije o realizaciji svih programa nalaze se godišnjem programskom izvještaju Centra.  </w:t>
      </w:r>
    </w:p>
    <w:p w14:paraId="6CF64E94" w14:textId="77777777" w:rsidR="00BA797F" w:rsidRDefault="00000000">
      <w:r>
        <w:t xml:space="preserve">Osim programa koji je jezgra i misija djelovanja Pogona, u 2025. smo godini nastavili s unaprjeđivanjem uvjeta rada na lokaciji Kneza Mislava 18, a posebno u Pogonu Jedinstvo, u onoj mjeri u kojoj je to moguće, obzirom na pravno-administrativna ograničenja i to u okviru tekućeg i investicijskog održavanja te opremanja ustanove. Obzirom na stanje zgrade naručena su dodatna ispitivanja stanja građevinske konstrukcije, čiji je nalaz stigao na kraju </w:t>
      </w:r>
      <w:r>
        <w:lastRenderedPageBreak/>
        <w:t>godine. S obzirom na to nije se moglo pristupiti realizaciji svih planiranih radova u 2025. godini.</w:t>
      </w:r>
    </w:p>
    <w:p w14:paraId="40316BFE" w14:textId="77777777" w:rsidR="00BA797F" w:rsidRDefault="00000000">
      <w:r>
        <w:t xml:space="preserve">Centar je u 2025. godini ostvario prihode poslovanja u iznosu od </w:t>
      </w:r>
      <w:r>
        <w:rPr>
          <w:b/>
        </w:rPr>
        <w:t>795.754,28€</w:t>
      </w:r>
      <w:r>
        <w:t xml:space="preserve"> koji se znatno veći od prihoda u istom periodu prethodne godine iz razloga povećanja sredstava za iznos plaća, materijalnih rashoda i uplate zadnje rate po završenom EU projektu na kontu 6321 Tekućih pomoći od međunarodnih organizacija. Ukupni rashodi poslovanja</w:t>
      </w:r>
      <w:r>
        <w:rPr>
          <w:b/>
        </w:rPr>
        <w:t>(šifra 3)</w:t>
      </w:r>
      <w:r>
        <w:t xml:space="preserve"> </w:t>
      </w:r>
      <w:r>
        <w:rPr>
          <w:b/>
        </w:rPr>
        <w:t>650.847,01€</w:t>
      </w:r>
      <w:r>
        <w:t xml:space="preserve"> povećani su za 21,1% iz razloga povećanja osnovice za plaću izjednačavanja koeficijenata sa zaposlenicima u ustanovama za kulturu Grada Zagreba te povećanja materijalnih rashoda. U navedenom razdoblju bilježimo  </w:t>
      </w:r>
      <w:r>
        <w:rPr>
          <w:b/>
        </w:rPr>
        <w:t>višak prihoda poslovanja 144.907,27€</w:t>
      </w:r>
      <w:r>
        <w:t xml:space="preserve">. Tijekom 2025. ostvaren je prihod od nefinancijske imovine u iznosu </w:t>
      </w:r>
      <w:r>
        <w:rPr>
          <w:b/>
        </w:rPr>
        <w:t xml:space="preserve">210,00€ </w:t>
      </w:r>
      <w:r>
        <w:t xml:space="preserve">prodajom imovine djelatnicima i ukupnih rashoda za nabavu nefinancijske imovine u iznosu od </w:t>
      </w:r>
      <w:r>
        <w:rPr>
          <w:b/>
        </w:rPr>
        <w:t xml:space="preserve">88.405,50€.  </w:t>
      </w:r>
      <w:r>
        <w:t xml:space="preserve">Na kraju 2025. godine ostvaren je </w:t>
      </w:r>
      <w:r>
        <w:rPr>
          <w:b/>
        </w:rPr>
        <w:t xml:space="preserve">manjak prihoda od nefinancijske imovine (šifra Y002) 88.195,50€. VIŠAK PRIHODA I PRIMITAKA (šifra X005) </w:t>
      </w:r>
      <w:r>
        <w:t>iznosi +</w:t>
      </w:r>
      <w:r>
        <w:rPr>
          <w:b/>
        </w:rPr>
        <w:t xml:space="preserve">56.711,77€, </w:t>
      </w:r>
      <w:r>
        <w:t xml:space="preserve">ali je iz 2024. godine prenesen manjak prihoda od </w:t>
      </w:r>
      <w:r>
        <w:rPr>
          <w:b/>
        </w:rPr>
        <w:t xml:space="preserve">-130.076,16€.  </w:t>
      </w:r>
      <w:r>
        <w:t xml:space="preserve">Nakon korekcije rezultata tijekom 2025 godine zbog povrata -15.575,31€ u proračun i korekcije knjiženja Erasmus+ projekta temeljem okružnice od -2.947,20 €, manjak prihoda za pokriće u sljedećem razdoblju iznosi  </w:t>
      </w:r>
      <w:r>
        <w:rPr>
          <w:b/>
        </w:rPr>
        <w:t>-91.886,90€.</w:t>
      </w:r>
    </w:p>
    <w:p w14:paraId="4308BC3A" w14:textId="77777777" w:rsidR="00BA797F" w:rsidRDefault="00000000">
      <w:r>
        <w:t> </w:t>
      </w:r>
    </w:p>
    <w:p w14:paraId="4129C574" w14:textId="77777777" w:rsidR="00BA797F" w:rsidRDefault="00000000">
      <w:r>
        <w:t> </w:t>
      </w:r>
    </w:p>
    <w:p w14:paraId="7A88B872" w14:textId="77777777" w:rsidR="00BA797F" w:rsidRDefault="00000000">
      <w:r>
        <w:br/>
      </w:r>
    </w:p>
    <w:p w14:paraId="6A18EE4A" w14:textId="77777777" w:rsidR="00BA797F"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7FDC81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7A76E8"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307CF2"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362183"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B07103"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EC5270"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235E10" w14:textId="77777777" w:rsidR="00BA797F" w:rsidRDefault="00000000">
            <w:pPr>
              <w:keepNext/>
              <w:keepLines/>
              <w:spacing w:after="0" w:line="240" w:lineRule="auto"/>
              <w:jc w:val="center"/>
            </w:pPr>
            <w:r>
              <w:rPr>
                <w:b/>
                <w:sz w:val="18"/>
              </w:rPr>
              <w:t>Indeks (%)</w:t>
            </w:r>
          </w:p>
        </w:tc>
      </w:tr>
      <w:tr w:rsidR="00BA797F" w14:paraId="5944BCDF" w14:textId="77777777">
        <w:tblPrEx>
          <w:tblCellMar>
            <w:top w:w="0" w:type="dxa"/>
            <w:bottom w:w="0" w:type="dxa"/>
          </w:tblCellMar>
        </w:tblPrEx>
        <w:trPr>
          <w:cantSplit/>
          <w:trHeight w:val="560"/>
        </w:trPr>
        <w:tc>
          <w:tcPr>
            <w:tcW w:w="700" w:type="dxa"/>
            <w:tcMar>
              <w:top w:w="0" w:type="dxa"/>
              <w:bottom w:w="0" w:type="dxa"/>
            </w:tcMar>
            <w:vAlign w:val="center"/>
          </w:tcPr>
          <w:p w14:paraId="4967990C" w14:textId="77777777" w:rsidR="00BA797F" w:rsidRDefault="00000000">
            <w:pPr>
              <w:keepNext/>
              <w:keepLines/>
              <w:spacing w:after="0" w:line="240" w:lineRule="auto"/>
            </w:pPr>
            <w:r>
              <w:rPr>
                <w:sz w:val="18"/>
              </w:rPr>
              <w:t>6361</w:t>
            </w:r>
          </w:p>
        </w:tc>
        <w:tc>
          <w:tcPr>
            <w:tcW w:w="3180" w:type="dxa"/>
            <w:tcMar>
              <w:top w:w="0" w:type="dxa"/>
              <w:bottom w:w="0" w:type="dxa"/>
            </w:tcMar>
            <w:vAlign w:val="center"/>
          </w:tcPr>
          <w:p w14:paraId="26673B0D" w14:textId="77777777" w:rsidR="00BA797F"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61512575" w14:textId="77777777" w:rsidR="00BA797F" w:rsidRDefault="00000000">
            <w:pPr>
              <w:keepNext/>
              <w:keepLines/>
              <w:spacing w:after="0" w:line="240" w:lineRule="auto"/>
            </w:pPr>
            <w:r>
              <w:rPr>
                <w:sz w:val="18"/>
              </w:rPr>
              <w:t>6361</w:t>
            </w:r>
          </w:p>
        </w:tc>
        <w:tc>
          <w:tcPr>
            <w:tcW w:w="1860" w:type="dxa"/>
            <w:tcMar>
              <w:top w:w="0" w:type="dxa"/>
              <w:bottom w:w="0" w:type="dxa"/>
            </w:tcMar>
            <w:vAlign w:val="center"/>
          </w:tcPr>
          <w:p w14:paraId="0116DB24" w14:textId="77777777" w:rsidR="00BA797F" w:rsidRDefault="00000000">
            <w:pPr>
              <w:keepNext/>
              <w:keepLines/>
              <w:spacing w:after="0" w:line="240" w:lineRule="auto"/>
              <w:jc w:val="right"/>
            </w:pPr>
            <w:r>
              <w:rPr>
                <w:sz w:val="18"/>
              </w:rPr>
              <w:t>12.600,00</w:t>
            </w:r>
          </w:p>
        </w:tc>
        <w:tc>
          <w:tcPr>
            <w:tcW w:w="1860" w:type="dxa"/>
            <w:tcMar>
              <w:top w:w="0" w:type="dxa"/>
              <w:bottom w:w="0" w:type="dxa"/>
            </w:tcMar>
            <w:vAlign w:val="center"/>
          </w:tcPr>
          <w:p w14:paraId="64E19B30" w14:textId="77777777" w:rsidR="00BA797F" w:rsidRDefault="00000000">
            <w:pPr>
              <w:keepNext/>
              <w:keepLines/>
              <w:spacing w:after="0" w:line="240" w:lineRule="auto"/>
              <w:jc w:val="right"/>
            </w:pPr>
            <w:r>
              <w:rPr>
                <w:sz w:val="18"/>
              </w:rPr>
              <w:t>13.000,00</w:t>
            </w:r>
          </w:p>
        </w:tc>
        <w:tc>
          <w:tcPr>
            <w:tcW w:w="700" w:type="dxa"/>
            <w:tcMar>
              <w:top w:w="0" w:type="dxa"/>
              <w:bottom w:w="0" w:type="dxa"/>
            </w:tcMar>
            <w:vAlign w:val="center"/>
          </w:tcPr>
          <w:p w14:paraId="3E0B7999" w14:textId="77777777" w:rsidR="00BA797F" w:rsidRDefault="00000000">
            <w:pPr>
              <w:keepNext/>
              <w:keepLines/>
              <w:spacing w:after="0" w:line="240" w:lineRule="auto"/>
              <w:jc w:val="right"/>
            </w:pPr>
            <w:r>
              <w:rPr>
                <w:sz w:val="18"/>
              </w:rPr>
              <w:t>103,2</w:t>
            </w:r>
          </w:p>
        </w:tc>
      </w:tr>
    </w:tbl>
    <w:p w14:paraId="3D0E8C21" w14:textId="77777777" w:rsidR="00BA797F" w:rsidRDefault="00BA797F">
      <w:pPr>
        <w:spacing w:after="0"/>
      </w:pPr>
    </w:p>
    <w:p w14:paraId="7222B503" w14:textId="77777777" w:rsidR="00BA797F" w:rsidRDefault="00000000">
      <w:r>
        <w:t xml:space="preserve">Na navedenom kontu evidentirane su pomoći od Ministarstva kulture i medija RH za dva projekta - </w:t>
      </w:r>
      <w:proofErr w:type="spellStart"/>
      <w:r>
        <w:t>Pogonator</w:t>
      </w:r>
      <w:proofErr w:type="spellEnd"/>
      <w:r>
        <w:t xml:space="preserve"> – inkubator suvremenog plesa s </w:t>
      </w:r>
      <w:r>
        <w:rPr>
          <w:b/>
        </w:rPr>
        <w:t>5.500,00€ i</w:t>
      </w:r>
      <w:r>
        <w:t xml:space="preserve">  rezidencijalni program razmjene umjetnika s </w:t>
      </w:r>
      <w:proofErr w:type="spellStart"/>
      <w:r>
        <w:t>Akademie</w:t>
      </w:r>
      <w:proofErr w:type="spellEnd"/>
      <w:r>
        <w:t xml:space="preserve"> </w:t>
      </w:r>
      <w:proofErr w:type="spellStart"/>
      <w:r>
        <w:t>Schloss</w:t>
      </w:r>
      <w:proofErr w:type="spellEnd"/>
      <w:r>
        <w:t xml:space="preserve"> </w:t>
      </w:r>
      <w:proofErr w:type="spellStart"/>
      <w:r>
        <w:t>Solitude</w:t>
      </w:r>
      <w:proofErr w:type="spellEnd"/>
      <w:r>
        <w:t xml:space="preserve"> s iznosom </w:t>
      </w:r>
      <w:r>
        <w:rPr>
          <w:b/>
        </w:rPr>
        <w:t>7.500,00€.</w:t>
      </w:r>
    </w:p>
    <w:p w14:paraId="38872AED" w14:textId="77777777" w:rsidR="00BA797F" w:rsidRDefault="00BA797F"/>
    <w:p w14:paraId="3486A33C" w14:textId="77777777" w:rsidR="00BA797F"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030814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31062C"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C6837F"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AFA436"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3B75DF"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25C613"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2CAD7B" w14:textId="77777777" w:rsidR="00BA797F" w:rsidRDefault="00000000">
            <w:pPr>
              <w:keepNext/>
              <w:keepLines/>
              <w:spacing w:after="0" w:line="240" w:lineRule="auto"/>
              <w:jc w:val="center"/>
            </w:pPr>
            <w:r>
              <w:rPr>
                <w:b/>
                <w:sz w:val="18"/>
              </w:rPr>
              <w:t>Indeks (%)</w:t>
            </w:r>
          </w:p>
        </w:tc>
      </w:tr>
      <w:tr w:rsidR="00BA797F" w14:paraId="6F6F989F" w14:textId="77777777">
        <w:tblPrEx>
          <w:tblCellMar>
            <w:top w:w="0" w:type="dxa"/>
            <w:bottom w:w="0" w:type="dxa"/>
          </w:tblCellMar>
        </w:tblPrEx>
        <w:trPr>
          <w:cantSplit/>
          <w:trHeight w:val="560"/>
        </w:trPr>
        <w:tc>
          <w:tcPr>
            <w:tcW w:w="700" w:type="dxa"/>
            <w:tcMar>
              <w:top w:w="0" w:type="dxa"/>
              <w:bottom w:w="0" w:type="dxa"/>
            </w:tcMar>
            <w:vAlign w:val="center"/>
          </w:tcPr>
          <w:p w14:paraId="68123956" w14:textId="77777777" w:rsidR="00BA797F" w:rsidRDefault="00000000">
            <w:pPr>
              <w:keepNext/>
              <w:keepLines/>
              <w:spacing w:after="0" w:line="240" w:lineRule="auto"/>
            </w:pPr>
            <w:r>
              <w:rPr>
                <w:sz w:val="18"/>
              </w:rPr>
              <w:t>6381</w:t>
            </w:r>
          </w:p>
        </w:tc>
        <w:tc>
          <w:tcPr>
            <w:tcW w:w="3180" w:type="dxa"/>
            <w:tcMar>
              <w:top w:w="0" w:type="dxa"/>
              <w:bottom w:w="0" w:type="dxa"/>
            </w:tcMar>
            <w:vAlign w:val="center"/>
          </w:tcPr>
          <w:p w14:paraId="1E2E7BAD" w14:textId="77777777" w:rsidR="00BA797F"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784B67BF" w14:textId="77777777" w:rsidR="00BA797F" w:rsidRDefault="00000000">
            <w:pPr>
              <w:keepNext/>
              <w:keepLines/>
              <w:spacing w:after="0" w:line="240" w:lineRule="auto"/>
            </w:pPr>
            <w:r>
              <w:rPr>
                <w:sz w:val="18"/>
              </w:rPr>
              <w:t>6381</w:t>
            </w:r>
          </w:p>
        </w:tc>
        <w:tc>
          <w:tcPr>
            <w:tcW w:w="1860" w:type="dxa"/>
            <w:tcMar>
              <w:top w:w="0" w:type="dxa"/>
              <w:bottom w:w="0" w:type="dxa"/>
            </w:tcMar>
            <w:vAlign w:val="center"/>
          </w:tcPr>
          <w:p w14:paraId="7FD80AA9" w14:textId="77777777" w:rsidR="00BA797F" w:rsidRDefault="00000000">
            <w:pPr>
              <w:keepNext/>
              <w:keepLines/>
              <w:spacing w:after="0" w:line="240" w:lineRule="auto"/>
              <w:jc w:val="right"/>
            </w:pPr>
            <w:r>
              <w:rPr>
                <w:sz w:val="18"/>
              </w:rPr>
              <w:t>0,00</w:t>
            </w:r>
          </w:p>
        </w:tc>
        <w:tc>
          <w:tcPr>
            <w:tcW w:w="1860" w:type="dxa"/>
            <w:tcMar>
              <w:top w:w="0" w:type="dxa"/>
              <w:bottom w:w="0" w:type="dxa"/>
            </w:tcMar>
            <w:vAlign w:val="center"/>
          </w:tcPr>
          <w:p w14:paraId="1E1DF466" w14:textId="77777777" w:rsidR="00BA797F" w:rsidRDefault="00000000">
            <w:pPr>
              <w:keepNext/>
              <w:keepLines/>
              <w:spacing w:after="0" w:line="240" w:lineRule="auto"/>
              <w:jc w:val="right"/>
            </w:pPr>
            <w:r>
              <w:rPr>
                <w:sz w:val="18"/>
              </w:rPr>
              <w:t>2.947,20</w:t>
            </w:r>
          </w:p>
        </w:tc>
        <w:tc>
          <w:tcPr>
            <w:tcW w:w="700" w:type="dxa"/>
            <w:tcMar>
              <w:top w:w="0" w:type="dxa"/>
              <w:bottom w:w="0" w:type="dxa"/>
            </w:tcMar>
            <w:vAlign w:val="center"/>
          </w:tcPr>
          <w:p w14:paraId="7E35C265" w14:textId="77777777" w:rsidR="00BA797F" w:rsidRDefault="00000000">
            <w:pPr>
              <w:keepNext/>
              <w:keepLines/>
              <w:spacing w:after="0" w:line="240" w:lineRule="auto"/>
              <w:jc w:val="right"/>
            </w:pPr>
            <w:r>
              <w:rPr>
                <w:sz w:val="18"/>
              </w:rPr>
              <w:t>-</w:t>
            </w:r>
          </w:p>
        </w:tc>
      </w:tr>
    </w:tbl>
    <w:p w14:paraId="273EF663" w14:textId="77777777" w:rsidR="00BA797F" w:rsidRDefault="00BA797F">
      <w:pPr>
        <w:spacing w:after="0"/>
      </w:pPr>
    </w:p>
    <w:p w14:paraId="357EF9B9" w14:textId="77777777" w:rsidR="00BA797F" w:rsidRDefault="00000000">
      <w:r>
        <w:t xml:space="preserve">Na kontu 6381 iznos od 2.947,20€ vezan je  uz projekt Erasmus +. Naime u uputama iz okružnice Ministarstva financija za sastavljanje GFI-a bili smo dužni evidentirati uplatu </w:t>
      </w:r>
      <w:r>
        <w:lastRenderedPageBreak/>
        <w:t>AMPEU-a prema dodatnim uputama za računovodstveno evidentiranje sredstava Europske unije, u poglavlju 3.3. Sredstva iz programa Erasmus+ i Europske snage solidarnosti  financiranih iz Erasmus+ programa kod korisnika projekata i Agencije za mobilnost i programe EU.  U ovoj proračunskoj godini iznimno je dana mogućnost da se izvrši korekcija prenesenog rezultata i evidentiraju vanbilančni zapisi  ukoliko početak i završetak projekta nisu u istoj proračunskoj godini, temeljem nastalih rashoda projekta u tromjesečju, na kraju svakog tromjesečja evidentiraju potraživanja i obračunate prihode za pomoći temeljem prijenosa EU sredstava na osnovnim računima 16381 ili 16382, odnosno 96381 ili 96382. Nadalje,  kao korisnici projekata mi smo u svojim poslovnim knjigama na kraju 2024. utvrdili višak prihoda nad rashodima u skladu s prethodno važećom metodologijom priznavanja prihoda i rashoda EU tijekova, odnosno primljeni predujam priznali smo  u prihod u godini uplate (u 2024.), a rashodi su nastali tek u 2025. Taj  višak prihoda nad rashodima prenijeli sumo kroz rezultat poslovanja u 2025. u kojoj je došlo do promjene metodologije priznavanja EU prihoda i rashoda.</w:t>
      </w:r>
      <w:r>
        <w:br/>
        <w:t>S ciljem što realnijeg iskazivanja rezultata poslovanja kroz godine, korigirali smo  utvrđeni rezultat za 2024. koji je prenesen u 2025. na način da smo višak iskazali kao obvezu za primljeni predujam od AMPE-</w:t>
      </w:r>
      <w:proofErr w:type="spellStart"/>
      <w:r>
        <w:t>ua</w:t>
      </w:r>
      <w:proofErr w:type="spellEnd"/>
      <w:r>
        <w:t xml:space="preserve"> za dio koji nam je agencija dužna uplatiti u 2026. godini a u 2025. godini priznali prihod i učinjene troškove.</w:t>
      </w:r>
    </w:p>
    <w:p w14:paraId="633F0C2A" w14:textId="77777777" w:rsidR="00BA797F" w:rsidRDefault="00BA797F"/>
    <w:p w14:paraId="04C29EEC" w14:textId="77777777" w:rsidR="00BA797F"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0A32F3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577A48"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FAFEFC"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14F9CB"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BF981F"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3B99A7"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8284F1" w14:textId="77777777" w:rsidR="00BA797F" w:rsidRDefault="00000000">
            <w:pPr>
              <w:keepNext/>
              <w:keepLines/>
              <w:spacing w:after="0" w:line="240" w:lineRule="auto"/>
              <w:jc w:val="center"/>
            </w:pPr>
            <w:r>
              <w:rPr>
                <w:b/>
                <w:sz w:val="18"/>
              </w:rPr>
              <w:t>Indeks (%)</w:t>
            </w:r>
          </w:p>
        </w:tc>
      </w:tr>
      <w:tr w:rsidR="00BA797F" w14:paraId="662F4588" w14:textId="77777777">
        <w:tblPrEx>
          <w:tblCellMar>
            <w:top w:w="0" w:type="dxa"/>
            <w:bottom w:w="0" w:type="dxa"/>
          </w:tblCellMar>
        </w:tblPrEx>
        <w:trPr>
          <w:cantSplit/>
          <w:trHeight w:val="560"/>
        </w:trPr>
        <w:tc>
          <w:tcPr>
            <w:tcW w:w="700" w:type="dxa"/>
            <w:tcMar>
              <w:top w:w="0" w:type="dxa"/>
              <w:bottom w:w="0" w:type="dxa"/>
            </w:tcMar>
            <w:vAlign w:val="center"/>
          </w:tcPr>
          <w:p w14:paraId="5FAAFF6B" w14:textId="77777777" w:rsidR="00BA797F" w:rsidRDefault="00000000">
            <w:pPr>
              <w:keepNext/>
              <w:keepLines/>
              <w:spacing w:after="0" w:line="240" w:lineRule="auto"/>
            </w:pPr>
            <w:r>
              <w:rPr>
                <w:sz w:val="18"/>
              </w:rPr>
              <w:t>6526</w:t>
            </w:r>
          </w:p>
        </w:tc>
        <w:tc>
          <w:tcPr>
            <w:tcW w:w="3180" w:type="dxa"/>
            <w:tcMar>
              <w:top w:w="0" w:type="dxa"/>
              <w:bottom w:w="0" w:type="dxa"/>
            </w:tcMar>
            <w:vAlign w:val="center"/>
          </w:tcPr>
          <w:p w14:paraId="3E15A0E9" w14:textId="77777777" w:rsidR="00BA797F" w:rsidRDefault="00000000">
            <w:pPr>
              <w:keepNext/>
              <w:keepLines/>
              <w:spacing w:after="0" w:line="240" w:lineRule="auto"/>
            </w:pPr>
            <w:r>
              <w:rPr>
                <w:sz w:val="18"/>
              </w:rPr>
              <w:t>Ostali nespomenuti prihodi</w:t>
            </w:r>
          </w:p>
        </w:tc>
        <w:tc>
          <w:tcPr>
            <w:tcW w:w="700" w:type="dxa"/>
            <w:tcMar>
              <w:top w:w="0" w:type="dxa"/>
              <w:bottom w:w="0" w:type="dxa"/>
            </w:tcMar>
            <w:vAlign w:val="center"/>
          </w:tcPr>
          <w:p w14:paraId="5ECAD9D8" w14:textId="77777777" w:rsidR="00BA797F" w:rsidRDefault="00000000">
            <w:pPr>
              <w:keepNext/>
              <w:keepLines/>
              <w:spacing w:after="0" w:line="240" w:lineRule="auto"/>
            </w:pPr>
            <w:r>
              <w:rPr>
                <w:sz w:val="18"/>
              </w:rPr>
              <w:t>6526</w:t>
            </w:r>
          </w:p>
        </w:tc>
        <w:tc>
          <w:tcPr>
            <w:tcW w:w="1860" w:type="dxa"/>
            <w:tcMar>
              <w:top w:w="0" w:type="dxa"/>
              <w:bottom w:w="0" w:type="dxa"/>
            </w:tcMar>
            <w:vAlign w:val="center"/>
          </w:tcPr>
          <w:p w14:paraId="27140D16" w14:textId="77777777" w:rsidR="00BA797F" w:rsidRDefault="00000000">
            <w:pPr>
              <w:keepNext/>
              <w:keepLines/>
              <w:spacing w:after="0" w:line="240" w:lineRule="auto"/>
              <w:jc w:val="right"/>
            </w:pPr>
            <w:r>
              <w:rPr>
                <w:sz w:val="18"/>
              </w:rPr>
              <w:t>3.513,33</w:t>
            </w:r>
          </w:p>
        </w:tc>
        <w:tc>
          <w:tcPr>
            <w:tcW w:w="1860" w:type="dxa"/>
            <w:tcMar>
              <w:top w:w="0" w:type="dxa"/>
              <w:bottom w:w="0" w:type="dxa"/>
            </w:tcMar>
            <w:vAlign w:val="center"/>
          </w:tcPr>
          <w:p w14:paraId="4746C1C2" w14:textId="77777777" w:rsidR="00BA797F" w:rsidRDefault="00000000">
            <w:pPr>
              <w:keepNext/>
              <w:keepLines/>
              <w:spacing w:after="0" w:line="240" w:lineRule="auto"/>
              <w:jc w:val="right"/>
            </w:pPr>
            <w:r>
              <w:rPr>
                <w:sz w:val="18"/>
              </w:rPr>
              <w:t>10.016,36</w:t>
            </w:r>
          </w:p>
        </w:tc>
        <w:tc>
          <w:tcPr>
            <w:tcW w:w="700" w:type="dxa"/>
            <w:tcMar>
              <w:top w:w="0" w:type="dxa"/>
              <w:bottom w:w="0" w:type="dxa"/>
            </w:tcMar>
            <w:vAlign w:val="center"/>
          </w:tcPr>
          <w:p w14:paraId="0084153C" w14:textId="77777777" w:rsidR="00BA797F" w:rsidRDefault="00000000">
            <w:pPr>
              <w:keepNext/>
              <w:keepLines/>
              <w:spacing w:after="0" w:line="240" w:lineRule="auto"/>
              <w:jc w:val="right"/>
            </w:pPr>
            <w:r>
              <w:rPr>
                <w:sz w:val="18"/>
              </w:rPr>
              <w:t>285,1</w:t>
            </w:r>
          </w:p>
        </w:tc>
      </w:tr>
    </w:tbl>
    <w:p w14:paraId="3E8B6F17" w14:textId="77777777" w:rsidR="00BA797F" w:rsidRDefault="00BA797F">
      <w:pPr>
        <w:spacing w:after="0"/>
      </w:pPr>
    </w:p>
    <w:p w14:paraId="06318DE4" w14:textId="77777777" w:rsidR="00BA797F" w:rsidRDefault="00000000">
      <w:r>
        <w:t xml:space="preserve">S obzirom da smo od 2025. godine kompletnu godinu proveli u prostoru Mislavova 18, cijena energenata tijekom zimskih mjeseci je uvećana pa je samim tim povećana refundacija troškova za električnu energiju, plin, komunalne usluge i troškove održavanja instalacija i kotlovnice na toj adresi. Na navedenom kontu knjižene su refundacije u iznosu  </w:t>
      </w:r>
      <w:r>
        <w:rPr>
          <w:b/>
        </w:rPr>
        <w:t>10.016,36 €.</w:t>
      </w:r>
    </w:p>
    <w:p w14:paraId="361D10B6" w14:textId="77777777" w:rsidR="00BA797F" w:rsidRDefault="00000000">
      <w:r>
        <w:t> </w:t>
      </w:r>
    </w:p>
    <w:p w14:paraId="1416E864" w14:textId="77777777" w:rsidR="00BA797F" w:rsidRDefault="00BA797F"/>
    <w:p w14:paraId="4DDE08BD" w14:textId="77777777" w:rsidR="00BA797F"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6574BB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020E47"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EAAEE9"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44D074"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FDA146"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20B793"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2F3E45" w14:textId="77777777" w:rsidR="00BA797F" w:rsidRDefault="00000000">
            <w:pPr>
              <w:keepNext/>
              <w:keepLines/>
              <w:spacing w:after="0" w:line="240" w:lineRule="auto"/>
              <w:jc w:val="center"/>
            </w:pPr>
            <w:r>
              <w:rPr>
                <w:b/>
                <w:sz w:val="18"/>
              </w:rPr>
              <w:t>Indeks (%)</w:t>
            </w:r>
          </w:p>
        </w:tc>
      </w:tr>
      <w:tr w:rsidR="00BA797F" w14:paraId="4E9BDC11" w14:textId="77777777">
        <w:tblPrEx>
          <w:tblCellMar>
            <w:top w:w="0" w:type="dxa"/>
            <w:bottom w:w="0" w:type="dxa"/>
          </w:tblCellMar>
        </w:tblPrEx>
        <w:trPr>
          <w:cantSplit/>
          <w:trHeight w:val="560"/>
        </w:trPr>
        <w:tc>
          <w:tcPr>
            <w:tcW w:w="700" w:type="dxa"/>
            <w:tcMar>
              <w:top w:w="0" w:type="dxa"/>
              <w:bottom w:w="0" w:type="dxa"/>
            </w:tcMar>
            <w:vAlign w:val="center"/>
          </w:tcPr>
          <w:p w14:paraId="4A5A4B4A" w14:textId="77777777" w:rsidR="00BA797F" w:rsidRDefault="00000000">
            <w:pPr>
              <w:keepNext/>
              <w:keepLines/>
              <w:spacing w:after="0" w:line="240" w:lineRule="auto"/>
            </w:pPr>
            <w:r>
              <w:rPr>
                <w:sz w:val="18"/>
              </w:rPr>
              <w:t>661</w:t>
            </w:r>
          </w:p>
        </w:tc>
        <w:tc>
          <w:tcPr>
            <w:tcW w:w="3180" w:type="dxa"/>
            <w:tcMar>
              <w:top w:w="0" w:type="dxa"/>
              <w:bottom w:w="0" w:type="dxa"/>
            </w:tcMar>
            <w:vAlign w:val="center"/>
          </w:tcPr>
          <w:p w14:paraId="050727B5" w14:textId="77777777" w:rsidR="00BA797F"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7E8B0BB7" w14:textId="77777777" w:rsidR="00BA797F" w:rsidRDefault="00000000">
            <w:pPr>
              <w:keepNext/>
              <w:keepLines/>
              <w:spacing w:after="0" w:line="240" w:lineRule="auto"/>
            </w:pPr>
            <w:r>
              <w:rPr>
                <w:sz w:val="18"/>
              </w:rPr>
              <w:t>661</w:t>
            </w:r>
          </w:p>
        </w:tc>
        <w:tc>
          <w:tcPr>
            <w:tcW w:w="1860" w:type="dxa"/>
            <w:tcMar>
              <w:top w:w="0" w:type="dxa"/>
              <w:bottom w:w="0" w:type="dxa"/>
            </w:tcMar>
            <w:vAlign w:val="center"/>
          </w:tcPr>
          <w:p w14:paraId="374D57D4" w14:textId="77777777" w:rsidR="00BA797F" w:rsidRDefault="00000000">
            <w:pPr>
              <w:keepNext/>
              <w:keepLines/>
              <w:spacing w:after="0" w:line="240" w:lineRule="auto"/>
              <w:jc w:val="right"/>
            </w:pPr>
            <w:r>
              <w:rPr>
                <w:sz w:val="18"/>
              </w:rPr>
              <w:t>6.711,44</w:t>
            </w:r>
          </w:p>
        </w:tc>
        <w:tc>
          <w:tcPr>
            <w:tcW w:w="1860" w:type="dxa"/>
            <w:tcMar>
              <w:top w:w="0" w:type="dxa"/>
              <w:bottom w:w="0" w:type="dxa"/>
            </w:tcMar>
            <w:vAlign w:val="center"/>
          </w:tcPr>
          <w:p w14:paraId="2D2F2CAB" w14:textId="77777777" w:rsidR="00BA797F" w:rsidRDefault="00000000">
            <w:pPr>
              <w:keepNext/>
              <w:keepLines/>
              <w:spacing w:after="0" w:line="240" w:lineRule="auto"/>
              <w:jc w:val="right"/>
            </w:pPr>
            <w:r>
              <w:rPr>
                <w:sz w:val="18"/>
              </w:rPr>
              <w:t>7.733,38</w:t>
            </w:r>
          </w:p>
        </w:tc>
        <w:tc>
          <w:tcPr>
            <w:tcW w:w="700" w:type="dxa"/>
            <w:tcMar>
              <w:top w:w="0" w:type="dxa"/>
              <w:bottom w:w="0" w:type="dxa"/>
            </w:tcMar>
            <w:vAlign w:val="center"/>
          </w:tcPr>
          <w:p w14:paraId="05D16EFF" w14:textId="77777777" w:rsidR="00BA797F" w:rsidRDefault="00000000">
            <w:pPr>
              <w:keepNext/>
              <w:keepLines/>
              <w:spacing w:after="0" w:line="240" w:lineRule="auto"/>
              <w:jc w:val="right"/>
            </w:pPr>
            <w:r>
              <w:rPr>
                <w:sz w:val="18"/>
              </w:rPr>
              <w:t>115,2</w:t>
            </w:r>
          </w:p>
        </w:tc>
      </w:tr>
    </w:tbl>
    <w:p w14:paraId="4C565131" w14:textId="77777777" w:rsidR="00BA797F" w:rsidRDefault="00BA797F">
      <w:pPr>
        <w:spacing w:after="0"/>
      </w:pPr>
    </w:p>
    <w:p w14:paraId="2675968D" w14:textId="77777777" w:rsidR="00BA797F" w:rsidRDefault="00000000">
      <w:r>
        <w:rPr>
          <w:b/>
        </w:rPr>
        <w:t xml:space="preserve">6615 -  </w:t>
      </w:r>
      <w:r>
        <w:t>Prihodi od pruženih usluga (</w:t>
      </w:r>
      <w:proofErr w:type="spellStart"/>
      <w:r>
        <w:t>vp</w:t>
      </w:r>
      <w:proofErr w:type="spellEnd"/>
      <w:r>
        <w:t xml:space="preserve">) u iznosu od </w:t>
      </w:r>
      <w:r>
        <w:rPr>
          <w:b/>
        </w:rPr>
        <w:t>7.733,38€</w:t>
      </w:r>
      <w:r>
        <w:t xml:space="preserve"> koji u odnosu na prethodnu godinu bilježe povećanje od 15,2%.  </w:t>
      </w:r>
    </w:p>
    <w:p w14:paraId="081D5939" w14:textId="77777777" w:rsidR="00BA797F" w:rsidRDefault="00000000">
      <w:r>
        <w:lastRenderedPageBreak/>
        <w:t>Navedeni vlastiti prihodi većinom su prihodi od realizacije raznih zabavnih aktivnosti u našem prostoru.</w:t>
      </w:r>
    </w:p>
    <w:p w14:paraId="68F48372" w14:textId="77777777" w:rsidR="00BA797F" w:rsidRDefault="00000000">
      <w:r>
        <w:t> </w:t>
      </w:r>
    </w:p>
    <w:p w14:paraId="07639EE9" w14:textId="77777777" w:rsidR="00BA797F" w:rsidRDefault="00BA797F"/>
    <w:p w14:paraId="13D3F2BD" w14:textId="77777777" w:rsidR="00BA797F"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67E55E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1408F0"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A7B595"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EDD92A"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B0F767"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0FE768"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2D7B71" w14:textId="77777777" w:rsidR="00BA797F" w:rsidRDefault="00000000">
            <w:pPr>
              <w:keepNext/>
              <w:keepLines/>
              <w:spacing w:after="0" w:line="240" w:lineRule="auto"/>
              <w:jc w:val="center"/>
            </w:pPr>
            <w:r>
              <w:rPr>
                <w:b/>
                <w:sz w:val="18"/>
              </w:rPr>
              <w:t>Indeks (%)</w:t>
            </w:r>
          </w:p>
        </w:tc>
      </w:tr>
      <w:tr w:rsidR="00BA797F" w14:paraId="374EC2DE" w14:textId="77777777">
        <w:tblPrEx>
          <w:tblCellMar>
            <w:top w:w="0" w:type="dxa"/>
            <w:bottom w:w="0" w:type="dxa"/>
          </w:tblCellMar>
        </w:tblPrEx>
        <w:trPr>
          <w:cantSplit/>
          <w:trHeight w:val="560"/>
        </w:trPr>
        <w:tc>
          <w:tcPr>
            <w:tcW w:w="700" w:type="dxa"/>
            <w:tcMar>
              <w:top w:w="0" w:type="dxa"/>
              <w:bottom w:w="0" w:type="dxa"/>
            </w:tcMar>
            <w:vAlign w:val="center"/>
          </w:tcPr>
          <w:p w14:paraId="657522B1" w14:textId="77777777" w:rsidR="00BA797F" w:rsidRDefault="00000000">
            <w:pPr>
              <w:keepNext/>
              <w:keepLines/>
              <w:spacing w:after="0" w:line="240" w:lineRule="auto"/>
            </w:pPr>
            <w:r>
              <w:rPr>
                <w:sz w:val="18"/>
              </w:rPr>
              <w:t>6712</w:t>
            </w:r>
          </w:p>
        </w:tc>
        <w:tc>
          <w:tcPr>
            <w:tcW w:w="3180" w:type="dxa"/>
            <w:tcMar>
              <w:top w:w="0" w:type="dxa"/>
              <w:bottom w:w="0" w:type="dxa"/>
            </w:tcMar>
            <w:vAlign w:val="center"/>
          </w:tcPr>
          <w:p w14:paraId="59C0DB68" w14:textId="77777777" w:rsidR="00BA797F"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56AE0F54" w14:textId="77777777" w:rsidR="00BA797F" w:rsidRDefault="00000000">
            <w:pPr>
              <w:keepNext/>
              <w:keepLines/>
              <w:spacing w:after="0" w:line="240" w:lineRule="auto"/>
            </w:pPr>
            <w:r>
              <w:rPr>
                <w:sz w:val="18"/>
              </w:rPr>
              <w:t>6712</w:t>
            </w:r>
          </w:p>
        </w:tc>
        <w:tc>
          <w:tcPr>
            <w:tcW w:w="1860" w:type="dxa"/>
            <w:tcMar>
              <w:top w:w="0" w:type="dxa"/>
              <w:bottom w:w="0" w:type="dxa"/>
            </w:tcMar>
            <w:vAlign w:val="center"/>
          </w:tcPr>
          <w:p w14:paraId="6E8EEE97" w14:textId="77777777" w:rsidR="00BA797F" w:rsidRDefault="00000000">
            <w:pPr>
              <w:keepNext/>
              <w:keepLines/>
              <w:spacing w:after="0" w:line="240" w:lineRule="auto"/>
              <w:jc w:val="right"/>
            </w:pPr>
            <w:r>
              <w:rPr>
                <w:sz w:val="18"/>
              </w:rPr>
              <w:t>45.792,73</w:t>
            </w:r>
          </w:p>
        </w:tc>
        <w:tc>
          <w:tcPr>
            <w:tcW w:w="1860" w:type="dxa"/>
            <w:tcMar>
              <w:top w:w="0" w:type="dxa"/>
              <w:bottom w:w="0" w:type="dxa"/>
            </w:tcMar>
            <w:vAlign w:val="center"/>
          </w:tcPr>
          <w:p w14:paraId="7C641854" w14:textId="77777777" w:rsidR="00BA797F" w:rsidRDefault="00000000">
            <w:pPr>
              <w:keepNext/>
              <w:keepLines/>
              <w:spacing w:after="0" w:line="240" w:lineRule="auto"/>
              <w:jc w:val="right"/>
            </w:pPr>
            <w:r>
              <w:rPr>
                <w:sz w:val="18"/>
              </w:rPr>
              <w:t>108.281,80</w:t>
            </w:r>
          </w:p>
        </w:tc>
        <w:tc>
          <w:tcPr>
            <w:tcW w:w="700" w:type="dxa"/>
            <w:tcMar>
              <w:top w:w="0" w:type="dxa"/>
              <w:bottom w:w="0" w:type="dxa"/>
            </w:tcMar>
            <w:vAlign w:val="center"/>
          </w:tcPr>
          <w:p w14:paraId="270649ED" w14:textId="77777777" w:rsidR="00BA797F" w:rsidRDefault="00000000">
            <w:pPr>
              <w:keepNext/>
              <w:keepLines/>
              <w:spacing w:after="0" w:line="240" w:lineRule="auto"/>
              <w:jc w:val="right"/>
            </w:pPr>
            <w:r>
              <w:rPr>
                <w:sz w:val="18"/>
              </w:rPr>
              <w:t>236,5</w:t>
            </w:r>
          </w:p>
        </w:tc>
      </w:tr>
    </w:tbl>
    <w:p w14:paraId="63969A35" w14:textId="77777777" w:rsidR="00BA797F" w:rsidRDefault="00BA797F">
      <w:pPr>
        <w:spacing w:after="0"/>
      </w:pPr>
    </w:p>
    <w:p w14:paraId="23A6E21C" w14:textId="77777777" w:rsidR="00BA797F" w:rsidRDefault="00000000">
      <w:r>
        <w:rPr>
          <w:b/>
        </w:rPr>
        <w:t xml:space="preserve">6712 - </w:t>
      </w:r>
      <w:r>
        <w:t>Prihodi iz nadležnog proračuna za financiranje rashoda za nabavu nefinancijske imovine iznose</w:t>
      </w:r>
      <w:r>
        <w:rPr>
          <w:b/>
        </w:rPr>
        <w:t xml:space="preserve">108.281,80€. </w:t>
      </w:r>
      <w:r>
        <w:t xml:space="preserve">Navedenim prihodima Pogon je financirao nabavu imovine i investicijsko održavanje u prostoru zgrade Pogona Jedinstvo. Vezano uz prostor zgrade Jedinstvo izrađeno je stručno mišljenje o stanju instalacija izvršeni su keramičarski i elektro radovi u </w:t>
      </w:r>
      <w:proofErr w:type="spellStart"/>
      <w:r>
        <w:t>zapozorju</w:t>
      </w:r>
      <w:proofErr w:type="spellEnd"/>
      <w:r>
        <w:t xml:space="preserve"> zbog dotrajalosti prijašnjih uz protupožarna brtvljenja. Izvršeni su radovi u </w:t>
      </w:r>
      <w:proofErr w:type="spellStart"/>
      <w:r>
        <w:t>termogen</w:t>
      </w:r>
      <w:proofErr w:type="spellEnd"/>
      <w:r>
        <w:t xml:space="preserve"> prostoriji, izrađene su armirano-betonske stopa i montirane nove sanitarije zbog dotrajalosti starih. Izrađene su mjere zaštite od požara, i izmijenjeni su </w:t>
      </w:r>
      <w:proofErr w:type="spellStart"/>
      <w:r>
        <w:t>cilindari</w:t>
      </w:r>
      <w:proofErr w:type="spellEnd"/>
      <w:r>
        <w:t xml:space="preserve"> i brave. Zbog dotrajalosti starog nabavljen je i postavljen pod u </w:t>
      </w:r>
      <w:proofErr w:type="spellStart"/>
      <w:r>
        <w:t>zapozorju</w:t>
      </w:r>
      <w:proofErr w:type="spellEnd"/>
      <w:r>
        <w:t xml:space="preserve">, izrađeni su projekti za sanaciju i uređenje zidova na evakuacijskim putevima u zgradi Pogon Jedinstvo. Nabavili smo dva televizora za potrebe realizacije izložbi i opremu za instalaciju pomoću koje će biti izložena arhiva programa u Pogonu Jedinstvo. Ugrađen je vatrodojavni sustav u podrumu Pogona Jedinstvo i metalni podest - rampa na ulazu u </w:t>
      </w:r>
      <w:proofErr w:type="spellStart"/>
      <w:r>
        <w:t>zapozorje</w:t>
      </w:r>
      <w:proofErr w:type="spellEnd"/>
      <w:r>
        <w:t xml:space="preserve">, ugrađena su protupožarna vrata na strujnoj sobi i prozori. Pribavljeni su visoko otporni lanci i zbog dotrajalosti su zamijenjena ulazna vrata u malu dvoranu sa štokovima. Pribavljene su mobilne ograde i dodatni detektor pokreta za alarmni sustav u Pogonu Jedinstvo. Od početka godine nabavljen je veliki šah za igranje na otvorenom te vrtni </w:t>
      </w:r>
      <w:proofErr w:type="spellStart"/>
      <w:r>
        <w:t>mobiliar</w:t>
      </w:r>
      <w:proofErr w:type="spellEnd"/>
      <w:r>
        <w:t xml:space="preserve"> za dvorište Jedinstva. Također je nabavljena nova glazbena oprema -zvučnici i glazbena ograda u dvorištu, te scenska oprema-reflektori/rasvjetna tijela i snimač s pojačalom. Obavljena su ispitivanja i istražni radovi te dopunjen elaborat stanja građevinske konstrukcije Pogona Jedinstvo. Montirana je nadstrešnica na ulazu u </w:t>
      </w:r>
      <w:proofErr w:type="spellStart"/>
      <w:r>
        <w:t>zapozorje</w:t>
      </w:r>
      <w:proofErr w:type="spellEnd"/>
      <w:r>
        <w:t xml:space="preserve"> i izvršeno dubinsko čišćenje bivšeg tvorničkog tanka za gorivo ispred zgrade Pogona Jedinstvo.</w:t>
      </w:r>
    </w:p>
    <w:p w14:paraId="543D1381" w14:textId="77777777" w:rsidR="00BA797F" w:rsidRDefault="00000000">
      <w:r>
        <w:rPr>
          <w:b/>
        </w:rPr>
        <w:t>Zbog toga su se izdvajanja nadležnog proračuna povećala za 262%.</w:t>
      </w:r>
    </w:p>
    <w:p w14:paraId="462212B5" w14:textId="77777777" w:rsidR="00BA797F" w:rsidRDefault="00BA797F"/>
    <w:p w14:paraId="2434713D" w14:textId="77777777" w:rsidR="00BA797F"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570529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E8EF94"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3BC002"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41CBE5"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37C862"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0F60A6"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FB8AB6" w14:textId="77777777" w:rsidR="00BA797F" w:rsidRDefault="00000000">
            <w:pPr>
              <w:keepNext/>
              <w:keepLines/>
              <w:spacing w:after="0" w:line="240" w:lineRule="auto"/>
              <w:jc w:val="center"/>
            </w:pPr>
            <w:r>
              <w:rPr>
                <w:b/>
                <w:sz w:val="18"/>
              </w:rPr>
              <w:t>Indeks (%)</w:t>
            </w:r>
          </w:p>
        </w:tc>
      </w:tr>
      <w:tr w:rsidR="00BA797F" w14:paraId="2CB3B215" w14:textId="77777777">
        <w:tblPrEx>
          <w:tblCellMar>
            <w:top w:w="0" w:type="dxa"/>
            <w:bottom w:w="0" w:type="dxa"/>
          </w:tblCellMar>
        </w:tblPrEx>
        <w:trPr>
          <w:cantSplit/>
          <w:trHeight w:val="560"/>
        </w:trPr>
        <w:tc>
          <w:tcPr>
            <w:tcW w:w="700" w:type="dxa"/>
            <w:tcMar>
              <w:top w:w="0" w:type="dxa"/>
              <w:bottom w:w="0" w:type="dxa"/>
            </w:tcMar>
            <w:vAlign w:val="center"/>
          </w:tcPr>
          <w:p w14:paraId="7C1FAF72" w14:textId="77777777" w:rsidR="00BA797F" w:rsidRDefault="00000000">
            <w:pPr>
              <w:keepNext/>
              <w:keepLines/>
              <w:spacing w:after="0" w:line="240" w:lineRule="auto"/>
            </w:pPr>
            <w:r>
              <w:rPr>
                <w:sz w:val="18"/>
              </w:rPr>
              <w:t>3111</w:t>
            </w:r>
          </w:p>
        </w:tc>
        <w:tc>
          <w:tcPr>
            <w:tcW w:w="3180" w:type="dxa"/>
            <w:tcMar>
              <w:top w:w="0" w:type="dxa"/>
              <w:bottom w:w="0" w:type="dxa"/>
            </w:tcMar>
            <w:vAlign w:val="center"/>
          </w:tcPr>
          <w:p w14:paraId="669A9C8D" w14:textId="77777777" w:rsidR="00BA797F" w:rsidRDefault="00000000">
            <w:pPr>
              <w:keepNext/>
              <w:keepLines/>
              <w:spacing w:after="0" w:line="240" w:lineRule="auto"/>
            </w:pPr>
            <w:r>
              <w:rPr>
                <w:sz w:val="18"/>
              </w:rPr>
              <w:t>Plaće za redovan rad</w:t>
            </w:r>
          </w:p>
        </w:tc>
        <w:tc>
          <w:tcPr>
            <w:tcW w:w="700" w:type="dxa"/>
            <w:tcMar>
              <w:top w:w="0" w:type="dxa"/>
              <w:bottom w:w="0" w:type="dxa"/>
            </w:tcMar>
            <w:vAlign w:val="center"/>
          </w:tcPr>
          <w:p w14:paraId="5474BC0A" w14:textId="77777777" w:rsidR="00BA797F" w:rsidRDefault="00000000">
            <w:pPr>
              <w:keepNext/>
              <w:keepLines/>
              <w:spacing w:after="0" w:line="240" w:lineRule="auto"/>
            </w:pPr>
            <w:r>
              <w:rPr>
                <w:sz w:val="18"/>
              </w:rPr>
              <w:t>3111</w:t>
            </w:r>
          </w:p>
        </w:tc>
        <w:tc>
          <w:tcPr>
            <w:tcW w:w="1860" w:type="dxa"/>
            <w:tcMar>
              <w:top w:w="0" w:type="dxa"/>
              <w:bottom w:w="0" w:type="dxa"/>
            </w:tcMar>
            <w:vAlign w:val="center"/>
          </w:tcPr>
          <w:p w14:paraId="1D5EBE47" w14:textId="77777777" w:rsidR="00BA797F" w:rsidRDefault="00000000">
            <w:pPr>
              <w:keepNext/>
              <w:keepLines/>
              <w:spacing w:after="0" w:line="240" w:lineRule="auto"/>
              <w:jc w:val="right"/>
            </w:pPr>
            <w:r>
              <w:rPr>
                <w:sz w:val="18"/>
              </w:rPr>
              <w:t>184.245,04</w:t>
            </w:r>
          </w:p>
        </w:tc>
        <w:tc>
          <w:tcPr>
            <w:tcW w:w="1860" w:type="dxa"/>
            <w:tcMar>
              <w:top w:w="0" w:type="dxa"/>
              <w:bottom w:w="0" w:type="dxa"/>
            </w:tcMar>
            <w:vAlign w:val="center"/>
          </w:tcPr>
          <w:p w14:paraId="56B659D2" w14:textId="77777777" w:rsidR="00BA797F" w:rsidRDefault="00000000">
            <w:pPr>
              <w:keepNext/>
              <w:keepLines/>
              <w:spacing w:after="0" w:line="240" w:lineRule="auto"/>
              <w:jc w:val="right"/>
            </w:pPr>
            <w:r>
              <w:rPr>
                <w:sz w:val="18"/>
              </w:rPr>
              <w:t>269.397,68</w:t>
            </w:r>
          </w:p>
        </w:tc>
        <w:tc>
          <w:tcPr>
            <w:tcW w:w="700" w:type="dxa"/>
            <w:tcMar>
              <w:top w:w="0" w:type="dxa"/>
              <w:bottom w:w="0" w:type="dxa"/>
            </w:tcMar>
            <w:vAlign w:val="center"/>
          </w:tcPr>
          <w:p w14:paraId="2CA0B7B0" w14:textId="77777777" w:rsidR="00BA797F" w:rsidRDefault="00000000">
            <w:pPr>
              <w:keepNext/>
              <w:keepLines/>
              <w:spacing w:after="0" w:line="240" w:lineRule="auto"/>
              <w:jc w:val="right"/>
            </w:pPr>
            <w:r>
              <w:rPr>
                <w:sz w:val="18"/>
              </w:rPr>
              <w:t>146,2</w:t>
            </w:r>
          </w:p>
        </w:tc>
      </w:tr>
    </w:tbl>
    <w:p w14:paraId="04C38CA0" w14:textId="77777777" w:rsidR="00BA797F" w:rsidRDefault="00BA797F">
      <w:pPr>
        <w:spacing w:after="0"/>
      </w:pPr>
    </w:p>
    <w:p w14:paraId="5CF6840E" w14:textId="77777777" w:rsidR="00BA797F" w:rsidRDefault="00000000">
      <w:r>
        <w:lastRenderedPageBreak/>
        <w:t>Plaće za redovan rad porasle su u odnosu na prethodno izvještajno razdoblje za 46,2%. Razlog je povećanje broja zaposlenih - od 2024. godine u Pogonu je zaposlena računovodstvena referentica, što je znatno unaprijedilo rad financijske službe i popunjeno je radno mjesto voditelja Jedinstva. U skladu s povećanjem neto plaća uvećani su i doprinosi na plaće i neoporezive isplate.</w:t>
      </w:r>
    </w:p>
    <w:p w14:paraId="7834F42F" w14:textId="77777777" w:rsidR="00BA797F" w:rsidRDefault="00BA797F"/>
    <w:p w14:paraId="2288ACE2" w14:textId="77777777" w:rsidR="00BA797F"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061E48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5D0CAD"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BC39FD"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09838B"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081CCD"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45ABE1"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DFB48D" w14:textId="77777777" w:rsidR="00BA797F" w:rsidRDefault="00000000">
            <w:pPr>
              <w:keepNext/>
              <w:keepLines/>
              <w:spacing w:after="0" w:line="240" w:lineRule="auto"/>
              <w:jc w:val="center"/>
            </w:pPr>
            <w:r>
              <w:rPr>
                <w:b/>
                <w:sz w:val="18"/>
              </w:rPr>
              <w:t>Indeks (%)</w:t>
            </w:r>
          </w:p>
        </w:tc>
      </w:tr>
      <w:tr w:rsidR="00BA797F" w14:paraId="49AE8E8C" w14:textId="77777777">
        <w:tblPrEx>
          <w:tblCellMar>
            <w:top w:w="0" w:type="dxa"/>
            <w:bottom w:w="0" w:type="dxa"/>
          </w:tblCellMar>
        </w:tblPrEx>
        <w:trPr>
          <w:cantSplit/>
          <w:trHeight w:val="560"/>
        </w:trPr>
        <w:tc>
          <w:tcPr>
            <w:tcW w:w="700" w:type="dxa"/>
            <w:tcMar>
              <w:top w:w="0" w:type="dxa"/>
              <w:bottom w:w="0" w:type="dxa"/>
            </w:tcMar>
            <w:vAlign w:val="center"/>
          </w:tcPr>
          <w:p w14:paraId="52D36148" w14:textId="77777777" w:rsidR="00BA797F" w:rsidRDefault="00000000">
            <w:pPr>
              <w:keepNext/>
              <w:keepLines/>
              <w:spacing w:after="0" w:line="240" w:lineRule="auto"/>
            </w:pPr>
            <w:r>
              <w:rPr>
                <w:sz w:val="18"/>
              </w:rPr>
              <w:t>312</w:t>
            </w:r>
          </w:p>
        </w:tc>
        <w:tc>
          <w:tcPr>
            <w:tcW w:w="3180" w:type="dxa"/>
            <w:tcMar>
              <w:top w:w="0" w:type="dxa"/>
              <w:bottom w:w="0" w:type="dxa"/>
            </w:tcMar>
            <w:vAlign w:val="center"/>
          </w:tcPr>
          <w:p w14:paraId="1247E93E" w14:textId="77777777" w:rsidR="00BA797F"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6BCB9A15" w14:textId="77777777" w:rsidR="00BA797F" w:rsidRDefault="00000000">
            <w:pPr>
              <w:keepNext/>
              <w:keepLines/>
              <w:spacing w:after="0" w:line="240" w:lineRule="auto"/>
            </w:pPr>
            <w:r>
              <w:rPr>
                <w:sz w:val="18"/>
              </w:rPr>
              <w:t>312</w:t>
            </w:r>
          </w:p>
        </w:tc>
        <w:tc>
          <w:tcPr>
            <w:tcW w:w="1860" w:type="dxa"/>
            <w:tcMar>
              <w:top w:w="0" w:type="dxa"/>
              <w:bottom w:w="0" w:type="dxa"/>
            </w:tcMar>
            <w:vAlign w:val="center"/>
          </w:tcPr>
          <w:p w14:paraId="7CE2F80F" w14:textId="77777777" w:rsidR="00BA797F" w:rsidRDefault="00000000">
            <w:pPr>
              <w:keepNext/>
              <w:keepLines/>
              <w:spacing w:after="0" w:line="240" w:lineRule="auto"/>
              <w:jc w:val="right"/>
            </w:pPr>
            <w:r>
              <w:rPr>
                <w:sz w:val="18"/>
              </w:rPr>
              <w:t>15.942,92</w:t>
            </w:r>
          </w:p>
        </w:tc>
        <w:tc>
          <w:tcPr>
            <w:tcW w:w="1860" w:type="dxa"/>
            <w:tcMar>
              <w:top w:w="0" w:type="dxa"/>
              <w:bottom w:w="0" w:type="dxa"/>
            </w:tcMar>
            <w:vAlign w:val="center"/>
          </w:tcPr>
          <w:p w14:paraId="2A534EF6" w14:textId="77777777" w:rsidR="00BA797F" w:rsidRDefault="00000000">
            <w:pPr>
              <w:keepNext/>
              <w:keepLines/>
              <w:spacing w:after="0" w:line="240" w:lineRule="auto"/>
              <w:jc w:val="right"/>
            </w:pPr>
            <w:r>
              <w:rPr>
                <w:sz w:val="18"/>
              </w:rPr>
              <w:t>22.923,71</w:t>
            </w:r>
          </w:p>
        </w:tc>
        <w:tc>
          <w:tcPr>
            <w:tcW w:w="700" w:type="dxa"/>
            <w:tcMar>
              <w:top w:w="0" w:type="dxa"/>
              <w:bottom w:w="0" w:type="dxa"/>
            </w:tcMar>
            <w:vAlign w:val="center"/>
          </w:tcPr>
          <w:p w14:paraId="5909026A" w14:textId="77777777" w:rsidR="00BA797F" w:rsidRDefault="00000000">
            <w:pPr>
              <w:keepNext/>
              <w:keepLines/>
              <w:spacing w:after="0" w:line="240" w:lineRule="auto"/>
              <w:jc w:val="right"/>
            </w:pPr>
            <w:r>
              <w:rPr>
                <w:sz w:val="18"/>
              </w:rPr>
              <w:t>143,8</w:t>
            </w:r>
          </w:p>
        </w:tc>
      </w:tr>
    </w:tbl>
    <w:p w14:paraId="489F7C3B" w14:textId="77777777" w:rsidR="00BA797F" w:rsidRDefault="00BA797F">
      <w:pPr>
        <w:spacing w:after="0"/>
      </w:pPr>
    </w:p>
    <w:p w14:paraId="296DC870" w14:textId="77777777" w:rsidR="00BA797F" w:rsidRDefault="00000000">
      <w:r>
        <w:t xml:space="preserve">Ostali rashodi za zaposlene uvećani su po stopi od 43,8 %. Osim isplate regresa, božićnica, dara za djecu i </w:t>
      </w:r>
      <w:proofErr w:type="spellStart"/>
      <w:r>
        <w:t>uskrsnica</w:t>
      </w:r>
      <w:proofErr w:type="spellEnd"/>
      <w:r>
        <w:t xml:space="preserve">, imali smo dvije isplate za pomoć novorođenom djetetu. Naime, tijekom 2025. godine stručna suradnica za programe je koristila </w:t>
      </w:r>
      <w:proofErr w:type="spellStart"/>
      <w:r>
        <w:t>rodiljni</w:t>
      </w:r>
      <w:proofErr w:type="spellEnd"/>
      <w:r>
        <w:t xml:space="preserve"> pa zatim roditeljski dopust, tijekom kojeg je za njeno radno mjesto nađena zamjena.</w:t>
      </w:r>
    </w:p>
    <w:p w14:paraId="73AF44D4" w14:textId="77777777" w:rsidR="00BA797F" w:rsidRDefault="00BA797F"/>
    <w:p w14:paraId="25F0788C" w14:textId="77777777" w:rsidR="00BA797F"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12AED3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4D4C55"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761891"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995BA7"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5DDB81"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BAA26E"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F62324" w14:textId="77777777" w:rsidR="00BA797F" w:rsidRDefault="00000000">
            <w:pPr>
              <w:keepNext/>
              <w:keepLines/>
              <w:spacing w:after="0" w:line="240" w:lineRule="auto"/>
              <w:jc w:val="center"/>
            </w:pPr>
            <w:r>
              <w:rPr>
                <w:b/>
                <w:sz w:val="18"/>
              </w:rPr>
              <w:t>Indeks (%)</w:t>
            </w:r>
          </w:p>
        </w:tc>
      </w:tr>
      <w:tr w:rsidR="00BA797F" w14:paraId="1498F4D3" w14:textId="77777777">
        <w:tblPrEx>
          <w:tblCellMar>
            <w:top w:w="0" w:type="dxa"/>
            <w:bottom w:w="0" w:type="dxa"/>
          </w:tblCellMar>
        </w:tblPrEx>
        <w:trPr>
          <w:cantSplit/>
          <w:trHeight w:val="560"/>
        </w:trPr>
        <w:tc>
          <w:tcPr>
            <w:tcW w:w="700" w:type="dxa"/>
            <w:tcMar>
              <w:top w:w="0" w:type="dxa"/>
              <w:bottom w:w="0" w:type="dxa"/>
            </w:tcMar>
            <w:vAlign w:val="center"/>
          </w:tcPr>
          <w:p w14:paraId="57E1864F" w14:textId="77777777" w:rsidR="00BA797F" w:rsidRDefault="00000000">
            <w:pPr>
              <w:keepNext/>
              <w:keepLines/>
              <w:spacing w:after="0" w:line="240" w:lineRule="auto"/>
            </w:pPr>
            <w:r>
              <w:rPr>
                <w:sz w:val="18"/>
              </w:rPr>
              <w:t>3211</w:t>
            </w:r>
          </w:p>
        </w:tc>
        <w:tc>
          <w:tcPr>
            <w:tcW w:w="3180" w:type="dxa"/>
            <w:tcMar>
              <w:top w:w="0" w:type="dxa"/>
              <w:bottom w:w="0" w:type="dxa"/>
            </w:tcMar>
            <w:vAlign w:val="center"/>
          </w:tcPr>
          <w:p w14:paraId="01EA6057" w14:textId="77777777" w:rsidR="00BA797F" w:rsidRDefault="00000000">
            <w:pPr>
              <w:keepNext/>
              <w:keepLines/>
              <w:spacing w:after="0" w:line="240" w:lineRule="auto"/>
            </w:pPr>
            <w:r>
              <w:rPr>
                <w:sz w:val="18"/>
              </w:rPr>
              <w:t>Službena putovanja</w:t>
            </w:r>
          </w:p>
        </w:tc>
        <w:tc>
          <w:tcPr>
            <w:tcW w:w="700" w:type="dxa"/>
            <w:tcMar>
              <w:top w:w="0" w:type="dxa"/>
              <w:bottom w:w="0" w:type="dxa"/>
            </w:tcMar>
            <w:vAlign w:val="center"/>
          </w:tcPr>
          <w:p w14:paraId="177EA2B4" w14:textId="77777777" w:rsidR="00BA797F" w:rsidRDefault="00000000">
            <w:pPr>
              <w:keepNext/>
              <w:keepLines/>
              <w:spacing w:after="0" w:line="240" w:lineRule="auto"/>
            </w:pPr>
            <w:r>
              <w:rPr>
                <w:sz w:val="18"/>
              </w:rPr>
              <w:t>3211</w:t>
            </w:r>
          </w:p>
        </w:tc>
        <w:tc>
          <w:tcPr>
            <w:tcW w:w="1860" w:type="dxa"/>
            <w:tcMar>
              <w:top w:w="0" w:type="dxa"/>
              <w:bottom w:w="0" w:type="dxa"/>
            </w:tcMar>
            <w:vAlign w:val="center"/>
          </w:tcPr>
          <w:p w14:paraId="7034969A" w14:textId="77777777" w:rsidR="00BA797F" w:rsidRDefault="00000000">
            <w:pPr>
              <w:keepNext/>
              <w:keepLines/>
              <w:spacing w:after="0" w:line="240" w:lineRule="auto"/>
              <w:jc w:val="right"/>
            </w:pPr>
            <w:r>
              <w:rPr>
                <w:sz w:val="18"/>
              </w:rPr>
              <w:t>6.961,52</w:t>
            </w:r>
          </w:p>
        </w:tc>
        <w:tc>
          <w:tcPr>
            <w:tcW w:w="1860" w:type="dxa"/>
            <w:tcMar>
              <w:top w:w="0" w:type="dxa"/>
              <w:bottom w:w="0" w:type="dxa"/>
            </w:tcMar>
            <w:vAlign w:val="center"/>
          </w:tcPr>
          <w:p w14:paraId="2C82802B" w14:textId="77777777" w:rsidR="00BA797F" w:rsidRDefault="00000000">
            <w:pPr>
              <w:keepNext/>
              <w:keepLines/>
              <w:spacing w:after="0" w:line="240" w:lineRule="auto"/>
              <w:jc w:val="right"/>
            </w:pPr>
            <w:r>
              <w:rPr>
                <w:sz w:val="18"/>
              </w:rPr>
              <w:t>5.544,16</w:t>
            </w:r>
          </w:p>
        </w:tc>
        <w:tc>
          <w:tcPr>
            <w:tcW w:w="700" w:type="dxa"/>
            <w:tcMar>
              <w:top w:w="0" w:type="dxa"/>
              <w:bottom w:w="0" w:type="dxa"/>
            </w:tcMar>
            <w:vAlign w:val="center"/>
          </w:tcPr>
          <w:p w14:paraId="257BAC97" w14:textId="77777777" w:rsidR="00BA797F" w:rsidRDefault="00000000">
            <w:pPr>
              <w:keepNext/>
              <w:keepLines/>
              <w:spacing w:after="0" w:line="240" w:lineRule="auto"/>
              <w:jc w:val="right"/>
            </w:pPr>
            <w:r>
              <w:rPr>
                <w:sz w:val="18"/>
              </w:rPr>
              <w:t>79,6</w:t>
            </w:r>
          </w:p>
        </w:tc>
      </w:tr>
    </w:tbl>
    <w:p w14:paraId="4AF4FF92" w14:textId="77777777" w:rsidR="00BA797F" w:rsidRDefault="00BA797F">
      <w:pPr>
        <w:spacing w:after="0"/>
      </w:pPr>
    </w:p>
    <w:p w14:paraId="33FD515E" w14:textId="77777777" w:rsidR="00BA797F" w:rsidRDefault="00000000">
      <w:r>
        <w:t xml:space="preserve">Izdaci za službena putovanja su smanjeni za 21,4% u odnosu na 2024. činjenicom da je EU projekt završio a izdatak od 5.544,16€ odnosi se na mobilnosti kolegica unutar projekta Erasmus+ i projekta </w:t>
      </w:r>
      <w:proofErr w:type="spellStart"/>
      <w:r>
        <w:t>Akademie</w:t>
      </w:r>
      <w:proofErr w:type="spellEnd"/>
      <w:r>
        <w:t xml:space="preserve"> </w:t>
      </w:r>
      <w:proofErr w:type="spellStart"/>
      <w:r>
        <w:t>Schloss</w:t>
      </w:r>
      <w:proofErr w:type="spellEnd"/>
      <w:r>
        <w:t xml:space="preserve"> </w:t>
      </w:r>
      <w:proofErr w:type="spellStart"/>
      <w:r>
        <w:t>Solitude</w:t>
      </w:r>
      <w:proofErr w:type="spellEnd"/>
      <w:r>
        <w:t>. </w:t>
      </w:r>
    </w:p>
    <w:p w14:paraId="18274803" w14:textId="77777777" w:rsidR="00BA797F" w:rsidRDefault="00BA797F"/>
    <w:p w14:paraId="36024BCB" w14:textId="77777777" w:rsidR="00BA797F"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29E7B0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228723"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A6FBC4"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1574EE"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33A97F"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FA6193"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7E2895" w14:textId="77777777" w:rsidR="00BA797F" w:rsidRDefault="00000000">
            <w:pPr>
              <w:keepNext/>
              <w:keepLines/>
              <w:spacing w:after="0" w:line="240" w:lineRule="auto"/>
              <w:jc w:val="center"/>
            </w:pPr>
            <w:r>
              <w:rPr>
                <w:b/>
                <w:sz w:val="18"/>
              </w:rPr>
              <w:t>Indeks (%)</w:t>
            </w:r>
          </w:p>
        </w:tc>
      </w:tr>
      <w:tr w:rsidR="00BA797F" w14:paraId="0181F985" w14:textId="77777777">
        <w:tblPrEx>
          <w:tblCellMar>
            <w:top w:w="0" w:type="dxa"/>
            <w:bottom w:w="0" w:type="dxa"/>
          </w:tblCellMar>
        </w:tblPrEx>
        <w:trPr>
          <w:cantSplit/>
          <w:trHeight w:val="560"/>
        </w:trPr>
        <w:tc>
          <w:tcPr>
            <w:tcW w:w="700" w:type="dxa"/>
            <w:tcMar>
              <w:top w:w="0" w:type="dxa"/>
              <w:bottom w:w="0" w:type="dxa"/>
            </w:tcMar>
            <w:vAlign w:val="center"/>
          </w:tcPr>
          <w:p w14:paraId="38652677" w14:textId="77777777" w:rsidR="00BA797F" w:rsidRDefault="00000000">
            <w:pPr>
              <w:keepNext/>
              <w:keepLines/>
              <w:spacing w:after="0" w:line="240" w:lineRule="auto"/>
            </w:pPr>
            <w:r>
              <w:rPr>
                <w:sz w:val="18"/>
              </w:rPr>
              <w:t>3212</w:t>
            </w:r>
          </w:p>
        </w:tc>
        <w:tc>
          <w:tcPr>
            <w:tcW w:w="3180" w:type="dxa"/>
            <w:tcMar>
              <w:top w:w="0" w:type="dxa"/>
              <w:bottom w:w="0" w:type="dxa"/>
            </w:tcMar>
            <w:vAlign w:val="center"/>
          </w:tcPr>
          <w:p w14:paraId="1B817ECC" w14:textId="77777777" w:rsidR="00BA797F"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51EA0A3C" w14:textId="77777777" w:rsidR="00BA797F" w:rsidRDefault="00000000">
            <w:pPr>
              <w:keepNext/>
              <w:keepLines/>
              <w:spacing w:after="0" w:line="240" w:lineRule="auto"/>
            </w:pPr>
            <w:r>
              <w:rPr>
                <w:sz w:val="18"/>
              </w:rPr>
              <w:t>3212</w:t>
            </w:r>
          </w:p>
        </w:tc>
        <w:tc>
          <w:tcPr>
            <w:tcW w:w="1860" w:type="dxa"/>
            <w:tcMar>
              <w:top w:w="0" w:type="dxa"/>
              <w:bottom w:w="0" w:type="dxa"/>
            </w:tcMar>
            <w:vAlign w:val="center"/>
          </w:tcPr>
          <w:p w14:paraId="1A978D7F" w14:textId="77777777" w:rsidR="00BA797F" w:rsidRDefault="00000000">
            <w:pPr>
              <w:keepNext/>
              <w:keepLines/>
              <w:spacing w:after="0" w:line="240" w:lineRule="auto"/>
              <w:jc w:val="right"/>
            </w:pPr>
            <w:r>
              <w:rPr>
                <w:sz w:val="18"/>
              </w:rPr>
              <w:t>5.206,19</w:t>
            </w:r>
          </w:p>
        </w:tc>
        <w:tc>
          <w:tcPr>
            <w:tcW w:w="1860" w:type="dxa"/>
            <w:tcMar>
              <w:top w:w="0" w:type="dxa"/>
              <w:bottom w:w="0" w:type="dxa"/>
            </w:tcMar>
            <w:vAlign w:val="center"/>
          </w:tcPr>
          <w:p w14:paraId="431BF19E" w14:textId="77777777" w:rsidR="00BA797F" w:rsidRDefault="00000000">
            <w:pPr>
              <w:keepNext/>
              <w:keepLines/>
              <w:spacing w:after="0" w:line="240" w:lineRule="auto"/>
              <w:jc w:val="right"/>
            </w:pPr>
            <w:r>
              <w:rPr>
                <w:sz w:val="18"/>
              </w:rPr>
              <w:t>6.459,17</w:t>
            </w:r>
          </w:p>
        </w:tc>
        <w:tc>
          <w:tcPr>
            <w:tcW w:w="700" w:type="dxa"/>
            <w:tcMar>
              <w:top w:w="0" w:type="dxa"/>
              <w:bottom w:w="0" w:type="dxa"/>
            </w:tcMar>
            <w:vAlign w:val="center"/>
          </w:tcPr>
          <w:p w14:paraId="221101E2" w14:textId="77777777" w:rsidR="00BA797F" w:rsidRDefault="00000000">
            <w:pPr>
              <w:keepNext/>
              <w:keepLines/>
              <w:spacing w:after="0" w:line="240" w:lineRule="auto"/>
              <w:jc w:val="right"/>
            </w:pPr>
            <w:r>
              <w:rPr>
                <w:sz w:val="18"/>
              </w:rPr>
              <w:t>124,1</w:t>
            </w:r>
          </w:p>
        </w:tc>
      </w:tr>
    </w:tbl>
    <w:p w14:paraId="724E228E" w14:textId="77777777" w:rsidR="00BA797F" w:rsidRDefault="00BA797F">
      <w:pPr>
        <w:spacing w:after="0"/>
      </w:pPr>
    </w:p>
    <w:p w14:paraId="3A90871E" w14:textId="77777777" w:rsidR="00BA797F" w:rsidRDefault="00000000">
      <w:r>
        <w:t>U skladu s povećanjem neto plaća uvećani su i doprinosi na plaće i neoporezive isplate, stoga i naknade za prijevoz. </w:t>
      </w:r>
    </w:p>
    <w:p w14:paraId="559C4DB5" w14:textId="77777777" w:rsidR="00BA797F" w:rsidRDefault="00BA797F"/>
    <w:p w14:paraId="685E015A" w14:textId="77777777" w:rsidR="00BA797F"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5F200C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66C969"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49BAAD"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8B70A9"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6E004D"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0E5BF3"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EA21D1" w14:textId="77777777" w:rsidR="00BA797F" w:rsidRDefault="00000000">
            <w:pPr>
              <w:keepNext/>
              <w:keepLines/>
              <w:spacing w:after="0" w:line="240" w:lineRule="auto"/>
              <w:jc w:val="center"/>
            </w:pPr>
            <w:r>
              <w:rPr>
                <w:b/>
                <w:sz w:val="18"/>
              </w:rPr>
              <w:t>Indeks (%)</w:t>
            </w:r>
          </w:p>
        </w:tc>
      </w:tr>
      <w:tr w:rsidR="00BA797F" w14:paraId="76BFB242" w14:textId="77777777">
        <w:tblPrEx>
          <w:tblCellMar>
            <w:top w:w="0" w:type="dxa"/>
            <w:bottom w:w="0" w:type="dxa"/>
          </w:tblCellMar>
        </w:tblPrEx>
        <w:trPr>
          <w:cantSplit/>
          <w:trHeight w:val="560"/>
        </w:trPr>
        <w:tc>
          <w:tcPr>
            <w:tcW w:w="700" w:type="dxa"/>
            <w:tcMar>
              <w:top w:w="0" w:type="dxa"/>
              <w:bottom w:w="0" w:type="dxa"/>
            </w:tcMar>
            <w:vAlign w:val="center"/>
          </w:tcPr>
          <w:p w14:paraId="6B92C95F" w14:textId="77777777" w:rsidR="00BA797F" w:rsidRDefault="00000000">
            <w:pPr>
              <w:keepNext/>
              <w:keepLines/>
              <w:spacing w:after="0" w:line="240" w:lineRule="auto"/>
            </w:pPr>
            <w:r>
              <w:rPr>
                <w:sz w:val="18"/>
              </w:rPr>
              <w:t>3213</w:t>
            </w:r>
          </w:p>
        </w:tc>
        <w:tc>
          <w:tcPr>
            <w:tcW w:w="3180" w:type="dxa"/>
            <w:tcMar>
              <w:top w:w="0" w:type="dxa"/>
              <w:bottom w:w="0" w:type="dxa"/>
            </w:tcMar>
            <w:vAlign w:val="center"/>
          </w:tcPr>
          <w:p w14:paraId="794425C3" w14:textId="77777777" w:rsidR="00BA797F"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4669AB8A" w14:textId="77777777" w:rsidR="00BA797F" w:rsidRDefault="00000000">
            <w:pPr>
              <w:keepNext/>
              <w:keepLines/>
              <w:spacing w:after="0" w:line="240" w:lineRule="auto"/>
            </w:pPr>
            <w:r>
              <w:rPr>
                <w:sz w:val="18"/>
              </w:rPr>
              <w:t>3213</w:t>
            </w:r>
          </w:p>
        </w:tc>
        <w:tc>
          <w:tcPr>
            <w:tcW w:w="1860" w:type="dxa"/>
            <w:tcMar>
              <w:top w:w="0" w:type="dxa"/>
              <w:bottom w:w="0" w:type="dxa"/>
            </w:tcMar>
            <w:vAlign w:val="center"/>
          </w:tcPr>
          <w:p w14:paraId="5EE6B728" w14:textId="77777777" w:rsidR="00BA797F" w:rsidRDefault="00000000">
            <w:pPr>
              <w:keepNext/>
              <w:keepLines/>
              <w:spacing w:after="0" w:line="240" w:lineRule="auto"/>
              <w:jc w:val="right"/>
            </w:pPr>
            <w:r>
              <w:rPr>
                <w:sz w:val="18"/>
              </w:rPr>
              <w:t>632,50</w:t>
            </w:r>
          </w:p>
        </w:tc>
        <w:tc>
          <w:tcPr>
            <w:tcW w:w="1860" w:type="dxa"/>
            <w:tcMar>
              <w:top w:w="0" w:type="dxa"/>
              <w:bottom w:w="0" w:type="dxa"/>
            </w:tcMar>
            <w:vAlign w:val="center"/>
          </w:tcPr>
          <w:p w14:paraId="540D5432" w14:textId="77777777" w:rsidR="00BA797F" w:rsidRDefault="00000000">
            <w:pPr>
              <w:keepNext/>
              <w:keepLines/>
              <w:spacing w:after="0" w:line="240" w:lineRule="auto"/>
              <w:jc w:val="right"/>
            </w:pPr>
            <w:r>
              <w:rPr>
                <w:sz w:val="18"/>
              </w:rPr>
              <w:t>2.935,95</w:t>
            </w:r>
          </w:p>
        </w:tc>
        <w:tc>
          <w:tcPr>
            <w:tcW w:w="700" w:type="dxa"/>
            <w:tcMar>
              <w:top w:w="0" w:type="dxa"/>
              <w:bottom w:w="0" w:type="dxa"/>
            </w:tcMar>
            <w:vAlign w:val="center"/>
          </w:tcPr>
          <w:p w14:paraId="1E63D3C3" w14:textId="77777777" w:rsidR="00BA797F" w:rsidRDefault="00000000">
            <w:pPr>
              <w:keepNext/>
              <w:keepLines/>
              <w:spacing w:after="0" w:line="240" w:lineRule="auto"/>
              <w:jc w:val="right"/>
            </w:pPr>
            <w:r>
              <w:rPr>
                <w:sz w:val="18"/>
              </w:rPr>
              <w:t>464,2</w:t>
            </w:r>
          </w:p>
        </w:tc>
      </w:tr>
    </w:tbl>
    <w:p w14:paraId="332686B0" w14:textId="77777777" w:rsidR="00BA797F" w:rsidRDefault="00BA797F">
      <w:pPr>
        <w:spacing w:after="0"/>
      </w:pPr>
    </w:p>
    <w:p w14:paraId="6809D963" w14:textId="77777777" w:rsidR="00BA797F" w:rsidRDefault="00000000">
      <w:r>
        <w:t>Tijekom 2025. godine znatnija su izdvajanja za stručna usavršavanja zaposlenika. Osim računovodstvenih seminara, dodatno su educirani programski voditelji i stručni suradnici za programe, kao i stručna suradnica za pravne i administrativne poslove iz područja jednostavne nabave i arhive centra.</w:t>
      </w:r>
    </w:p>
    <w:p w14:paraId="5CE5A7CB" w14:textId="77777777" w:rsidR="00BA797F" w:rsidRDefault="00BA797F"/>
    <w:p w14:paraId="7163081C" w14:textId="77777777" w:rsidR="00BA797F"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182724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3B138D"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6A1251"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4D7E46"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F21CE6"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4B5262"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A46799" w14:textId="77777777" w:rsidR="00BA797F" w:rsidRDefault="00000000">
            <w:pPr>
              <w:keepNext/>
              <w:keepLines/>
              <w:spacing w:after="0" w:line="240" w:lineRule="auto"/>
              <w:jc w:val="center"/>
            </w:pPr>
            <w:r>
              <w:rPr>
                <w:b/>
                <w:sz w:val="18"/>
              </w:rPr>
              <w:t>Indeks (%)</w:t>
            </w:r>
          </w:p>
        </w:tc>
      </w:tr>
      <w:tr w:rsidR="00BA797F" w14:paraId="28B10E1C" w14:textId="77777777">
        <w:tblPrEx>
          <w:tblCellMar>
            <w:top w:w="0" w:type="dxa"/>
            <w:bottom w:w="0" w:type="dxa"/>
          </w:tblCellMar>
        </w:tblPrEx>
        <w:trPr>
          <w:cantSplit/>
          <w:trHeight w:val="560"/>
        </w:trPr>
        <w:tc>
          <w:tcPr>
            <w:tcW w:w="700" w:type="dxa"/>
            <w:tcMar>
              <w:top w:w="0" w:type="dxa"/>
              <w:bottom w:w="0" w:type="dxa"/>
            </w:tcMar>
            <w:vAlign w:val="center"/>
          </w:tcPr>
          <w:p w14:paraId="30C0C230" w14:textId="77777777" w:rsidR="00BA797F" w:rsidRDefault="00000000">
            <w:pPr>
              <w:keepNext/>
              <w:keepLines/>
              <w:spacing w:after="0" w:line="240" w:lineRule="auto"/>
            </w:pPr>
            <w:r>
              <w:rPr>
                <w:sz w:val="18"/>
              </w:rPr>
              <w:t>322</w:t>
            </w:r>
          </w:p>
        </w:tc>
        <w:tc>
          <w:tcPr>
            <w:tcW w:w="3180" w:type="dxa"/>
            <w:tcMar>
              <w:top w:w="0" w:type="dxa"/>
              <w:bottom w:w="0" w:type="dxa"/>
            </w:tcMar>
            <w:vAlign w:val="center"/>
          </w:tcPr>
          <w:p w14:paraId="6DE66B59" w14:textId="77777777" w:rsidR="00BA797F"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3BB13336" w14:textId="77777777" w:rsidR="00BA797F" w:rsidRDefault="00000000">
            <w:pPr>
              <w:keepNext/>
              <w:keepLines/>
              <w:spacing w:after="0" w:line="240" w:lineRule="auto"/>
            </w:pPr>
            <w:r>
              <w:rPr>
                <w:sz w:val="18"/>
              </w:rPr>
              <w:t>322</w:t>
            </w:r>
          </w:p>
        </w:tc>
        <w:tc>
          <w:tcPr>
            <w:tcW w:w="1860" w:type="dxa"/>
            <w:tcMar>
              <w:top w:w="0" w:type="dxa"/>
              <w:bottom w:w="0" w:type="dxa"/>
            </w:tcMar>
            <w:vAlign w:val="center"/>
          </w:tcPr>
          <w:p w14:paraId="18067E74" w14:textId="77777777" w:rsidR="00BA797F" w:rsidRDefault="00000000">
            <w:pPr>
              <w:keepNext/>
              <w:keepLines/>
              <w:spacing w:after="0" w:line="240" w:lineRule="auto"/>
              <w:jc w:val="right"/>
            </w:pPr>
            <w:r>
              <w:rPr>
                <w:sz w:val="18"/>
              </w:rPr>
              <w:t>43.117,83</w:t>
            </w:r>
          </w:p>
        </w:tc>
        <w:tc>
          <w:tcPr>
            <w:tcW w:w="1860" w:type="dxa"/>
            <w:tcMar>
              <w:top w:w="0" w:type="dxa"/>
              <w:bottom w:w="0" w:type="dxa"/>
            </w:tcMar>
            <w:vAlign w:val="center"/>
          </w:tcPr>
          <w:p w14:paraId="4C2DE7D4" w14:textId="77777777" w:rsidR="00BA797F" w:rsidRDefault="00000000">
            <w:pPr>
              <w:keepNext/>
              <w:keepLines/>
              <w:spacing w:after="0" w:line="240" w:lineRule="auto"/>
              <w:jc w:val="right"/>
            </w:pPr>
            <w:r>
              <w:rPr>
                <w:sz w:val="18"/>
              </w:rPr>
              <w:t>57.613,04</w:t>
            </w:r>
          </w:p>
        </w:tc>
        <w:tc>
          <w:tcPr>
            <w:tcW w:w="700" w:type="dxa"/>
            <w:tcMar>
              <w:top w:w="0" w:type="dxa"/>
              <w:bottom w:w="0" w:type="dxa"/>
            </w:tcMar>
            <w:vAlign w:val="center"/>
          </w:tcPr>
          <w:p w14:paraId="182398FE" w14:textId="77777777" w:rsidR="00BA797F" w:rsidRDefault="00000000">
            <w:pPr>
              <w:keepNext/>
              <w:keepLines/>
              <w:spacing w:after="0" w:line="240" w:lineRule="auto"/>
              <w:jc w:val="right"/>
            </w:pPr>
            <w:r>
              <w:rPr>
                <w:sz w:val="18"/>
              </w:rPr>
              <w:t>133,6</w:t>
            </w:r>
          </w:p>
        </w:tc>
      </w:tr>
    </w:tbl>
    <w:p w14:paraId="2B7706BD" w14:textId="77777777" w:rsidR="00BA797F" w:rsidRDefault="00BA797F">
      <w:pPr>
        <w:spacing w:after="0"/>
      </w:pPr>
    </w:p>
    <w:p w14:paraId="104A4DD7" w14:textId="77777777" w:rsidR="00BA797F" w:rsidRDefault="00000000">
      <w:r>
        <w:t xml:space="preserve">Na skupini </w:t>
      </w:r>
      <w:r>
        <w:rPr>
          <w:b/>
        </w:rPr>
        <w:t xml:space="preserve">322 </w:t>
      </w:r>
      <w:r>
        <w:t xml:space="preserve">Rashodi za materijal i energiju (šifre 3221 do 3227) iznose </w:t>
      </w:r>
      <w:r>
        <w:rPr>
          <w:b/>
        </w:rPr>
        <w:t xml:space="preserve">57.613,04 € </w:t>
      </w:r>
      <w:r>
        <w:t>što je za 33,6% veće od ostvarenog u istom razdoblju prethodne godine. Zbog intenzivnog rada obje lokacije Centra i rasta broja programa, bila je potrebna značajno veća nabava kako uredskog materijala tako i  sitnog inventara kako bi se omogućila njihova uspješna realizacija, kao i rad zaposlenika. Izdaci za energiju su povećani zbog preseljena na novu lokaciju gdje smo sada proveli jednu punu proračunsku godinu na adresi Kneza Mislava 18, koja je znatno veći prostor sa skupljom cijenom energenata. </w:t>
      </w:r>
    </w:p>
    <w:p w14:paraId="0D98E808" w14:textId="77777777" w:rsidR="00BA797F" w:rsidRDefault="00000000">
      <w:r>
        <w:t> </w:t>
      </w:r>
    </w:p>
    <w:p w14:paraId="3E0A33DA" w14:textId="77777777" w:rsidR="00BA797F" w:rsidRDefault="00BA797F"/>
    <w:p w14:paraId="28740DD6" w14:textId="77777777" w:rsidR="00BA797F"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686A91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4383D7"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259251"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6B04A4"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9DF1E7"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55FB2A"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9168B3" w14:textId="77777777" w:rsidR="00BA797F" w:rsidRDefault="00000000">
            <w:pPr>
              <w:keepNext/>
              <w:keepLines/>
              <w:spacing w:after="0" w:line="240" w:lineRule="auto"/>
              <w:jc w:val="center"/>
            </w:pPr>
            <w:r>
              <w:rPr>
                <w:b/>
                <w:sz w:val="18"/>
              </w:rPr>
              <w:t>Indeks (%)</w:t>
            </w:r>
          </w:p>
        </w:tc>
      </w:tr>
      <w:tr w:rsidR="00BA797F" w14:paraId="16E19A8D" w14:textId="77777777">
        <w:tblPrEx>
          <w:tblCellMar>
            <w:top w:w="0" w:type="dxa"/>
            <w:bottom w:w="0" w:type="dxa"/>
          </w:tblCellMar>
        </w:tblPrEx>
        <w:trPr>
          <w:cantSplit/>
          <w:trHeight w:val="560"/>
        </w:trPr>
        <w:tc>
          <w:tcPr>
            <w:tcW w:w="700" w:type="dxa"/>
            <w:tcMar>
              <w:top w:w="0" w:type="dxa"/>
              <w:bottom w:w="0" w:type="dxa"/>
            </w:tcMar>
            <w:vAlign w:val="center"/>
          </w:tcPr>
          <w:p w14:paraId="5B50C96F" w14:textId="77777777" w:rsidR="00BA797F" w:rsidRDefault="00000000">
            <w:pPr>
              <w:keepNext/>
              <w:keepLines/>
              <w:spacing w:after="0" w:line="240" w:lineRule="auto"/>
            </w:pPr>
            <w:r>
              <w:rPr>
                <w:sz w:val="18"/>
              </w:rPr>
              <w:t>329</w:t>
            </w:r>
          </w:p>
        </w:tc>
        <w:tc>
          <w:tcPr>
            <w:tcW w:w="3180" w:type="dxa"/>
            <w:tcMar>
              <w:top w:w="0" w:type="dxa"/>
              <w:bottom w:w="0" w:type="dxa"/>
            </w:tcMar>
            <w:vAlign w:val="center"/>
          </w:tcPr>
          <w:p w14:paraId="454C8FD9" w14:textId="77777777" w:rsidR="00BA797F"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25376095" w14:textId="77777777" w:rsidR="00BA797F" w:rsidRDefault="00000000">
            <w:pPr>
              <w:keepNext/>
              <w:keepLines/>
              <w:spacing w:after="0" w:line="240" w:lineRule="auto"/>
            </w:pPr>
            <w:r>
              <w:rPr>
                <w:sz w:val="18"/>
              </w:rPr>
              <w:t>329</w:t>
            </w:r>
          </w:p>
        </w:tc>
        <w:tc>
          <w:tcPr>
            <w:tcW w:w="1860" w:type="dxa"/>
            <w:tcMar>
              <w:top w:w="0" w:type="dxa"/>
              <w:bottom w:w="0" w:type="dxa"/>
            </w:tcMar>
            <w:vAlign w:val="center"/>
          </w:tcPr>
          <w:p w14:paraId="58810B6B" w14:textId="77777777" w:rsidR="00BA797F" w:rsidRDefault="00000000">
            <w:pPr>
              <w:keepNext/>
              <w:keepLines/>
              <w:spacing w:after="0" w:line="240" w:lineRule="auto"/>
              <w:jc w:val="right"/>
            </w:pPr>
            <w:r>
              <w:rPr>
                <w:sz w:val="18"/>
              </w:rPr>
              <w:t>9.425,04</w:t>
            </w:r>
          </w:p>
        </w:tc>
        <w:tc>
          <w:tcPr>
            <w:tcW w:w="1860" w:type="dxa"/>
            <w:tcMar>
              <w:top w:w="0" w:type="dxa"/>
              <w:bottom w:w="0" w:type="dxa"/>
            </w:tcMar>
            <w:vAlign w:val="center"/>
          </w:tcPr>
          <w:p w14:paraId="699FF929" w14:textId="77777777" w:rsidR="00BA797F" w:rsidRDefault="00000000">
            <w:pPr>
              <w:keepNext/>
              <w:keepLines/>
              <w:spacing w:after="0" w:line="240" w:lineRule="auto"/>
              <w:jc w:val="right"/>
            </w:pPr>
            <w:r>
              <w:rPr>
                <w:sz w:val="18"/>
              </w:rPr>
              <w:t>11.521,44</w:t>
            </w:r>
          </w:p>
        </w:tc>
        <w:tc>
          <w:tcPr>
            <w:tcW w:w="700" w:type="dxa"/>
            <w:tcMar>
              <w:top w:w="0" w:type="dxa"/>
              <w:bottom w:w="0" w:type="dxa"/>
            </w:tcMar>
            <w:vAlign w:val="center"/>
          </w:tcPr>
          <w:p w14:paraId="39268C50" w14:textId="77777777" w:rsidR="00BA797F" w:rsidRDefault="00000000">
            <w:pPr>
              <w:keepNext/>
              <w:keepLines/>
              <w:spacing w:after="0" w:line="240" w:lineRule="auto"/>
              <w:jc w:val="right"/>
            </w:pPr>
            <w:r>
              <w:rPr>
                <w:sz w:val="18"/>
              </w:rPr>
              <w:t>122,2</w:t>
            </w:r>
          </w:p>
        </w:tc>
      </w:tr>
    </w:tbl>
    <w:p w14:paraId="67F2E39E" w14:textId="77777777" w:rsidR="00BA797F" w:rsidRDefault="00BA797F">
      <w:pPr>
        <w:spacing w:after="0"/>
      </w:pPr>
    </w:p>
    <w:p w14:paraId="6C1320C7" w14:textId="16F689F6" w:rsidR="00BA797F" w:rsidRDefault="00000000">
      <w:r>
        <w:t>329 Ostali nespomenuti rashodi poslovanja (šifre 3291 do 3299) - rashodi na navedenoj skupini uvećani su za 22,2% u odnosu na isti peri</w:t>
      </w:r>
      <w:r w:rsidR="006E3943">
        <w:t>o</w:t>
      </w:r>
      <w:r>
        <w:t xml:space="preserve">d prethodne godine i iznosili su  </w:t>
      </w:r>
      <w:r>
        <w:rPr>
          <w:b/>
        </w:rPr>
        <w:t xml:space="preserve">11.521,44 €. </w:t>
      </w:r>
      <w:r>
        <w:t>Povećanje troškova je uslijedilo radi zaključka Gradonačelnika o povećanju naknada predstavnicima Upravnih vijeća koji se primjenjuje od 01.10.2025. godine, što je znatno uvećalo izdatke za članove Upravnog vijeća. Također se znatnije povećala premija osiguranja imovine u odnosu na isto razdoblje prethodne godine.</w:t>
      </w:r>
    </w:p>
    <w:p w14:paraId="34DD6037" w14:textId="77777777" w:rsidR="00BA797F" w:rsidRDefault="00BA797F"/>
    <w:p w14:paraId="2BC0E371" w14:textId="77777777" w:rsidR="00BA797F"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479694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E22824"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2AA87E"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8EEB8E"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EF4AC8"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1483DD"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13B1BF" w14:textId="77777777" w:rsidR="00BA797F" w:rsidRDefault="00000000">
            <w:pPr>
              <w:keepNext/>
              <w:keepLines/>
              <w:spacing w:after="0" w:line="240" w:lineRule="auto"/>
              <w:jc w:val="center"/>
            </w:pPr>
            <w:r>
              <w:rPr>
                <w:b/>
                <w:sz w:val="18"/>
              </w:rPr>
              <w:t>Indeks (%)</w:t>
            </w:r>
          </w:p>
        </w:tc>
      </w:tr>
      <w:tr w:rsidR="00BA797F" w14:paraId="1394E250" w14:textId="77777777">
        <w:tblPrEx>
          <w:tblCellMar>
            <w:top w:w="0" w:type="dxa"/>
            <w:bottom w:w="0" w:type="dxa"/>
          </w:tblCellMar>
        </w:tblPrEx>
        <w:trPr>
          <w:cantSplit/>
          <w:trHeight w:val="560"/>
        </w:trPr>
        <w:tc>
          <w:tcPr>
            <w:tcW w:w="700" w:type="dxa"/>
            <w:tcMar>
              <w:top w:w="0" w:type="dxa"/>
              <w:bottom w:w="0" w:type="dxa"/>
            </w:tcMar>
            <w:vAlign w:val="center"/>
          </w:tcPr>
          <w:p w14:paraId="76D0865A" w14:textId="77777777" w:rsidR="00BA797F" w:rsidRDefault="00000000">
            <w:pPr>
              <w:keepNext/>
              <w:keepLines/>
              <w:spacing w:after="0" w:line="240" w:lineRule="auto"/>
            </w:pPr>
            <w:r>
              <w:rPr>
                <w:sz w:val="18"/>
              </w:rPr>
              <w:t>34</w:t>
            </w:r>
          </w:p>
        </w:tc>
        <w:tc>
          <w:tcPr>
            <w:tcW w:w="3180" w:type="dxa"/>
            <w:tcMar>
              <w:top w:w="0" w:type="dxa"/>
              <w:bottom w:w="0" w:type="dxa"/>
            </w:tcMar>
            <w:vAlign w:val="center"/>
          </w:tcPr>
          <w:p w14:paraId="38BF2ECB" w14:textId="77777777" w:rsidR="00BA797F"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19730494" w14:textId="77777777" w:rsidR="00BA797F" w:rsidRDefault="00000000">
            <w:pPr>
              <w:keepNext/>
              <w:keepLines/>
              <w:spacing w:after="0" w:line="240" w:lineRule="auto"/>
            </w:pPr>
            <w:r>
              <w:rPr>
                <w:sz w:val="18"/>
              </w:rPr>
              <w:t>34</w:t>
            </w:r>
          </w:p>
        </w:tc>
        <w:tc>
          <w:tcPr>
            <w:tcW w:w="1860" w:type="dxa"/>
            <w:tcMar>
              <w:top w:w="0" w:type="dxa"/>
              <w:bottom w:w="0" w:type="dxa"/>
            </w:tcMar>
            <w:vAlign w:val="center"/>
          </w:tcPr>
          <w:p w14:paraId="6C836BA4" w14:textId="77777777" w:rsidR="00BA797F" w:rsidRDefault="00000000">
            <w:pPr>
              <w:keepNext/>
              <w:keepLines/>
              <w:spacing w:after="0" w:line="240" w:lineRule="auto"/>
              <w:jc w:val="right"/>
            </w:pPr>
            <w:r>
              <w:rPr>
                <w:sz w:val="18"/>
              </w:rPr>
              <w:t>448,49</w:t>
            </w:r>
          </w:p>
        </w:tc>
        <w:tc>
          <w:tcPr>
            <w:tcW w:w="1860" w:type="dxa"/>
            <w:tcMar>
              <w:top w:w="0" w:type="dxa"/>
              <w:bottom w:w="0" w:type="dxa"/>
            </w:tcMar>
            <w:vAlign w:val="center"/>
          </w:tcPr>
          <w:p w14:paraId="08C57688" w14:textId="77777777" w:rsidR="00BA797F" w:rsidRDefault="00000000">
            <w:pPr>
              <w:keepNext/>
              <w:keepLines/>
              <w:spacing w:after="0" w:line="240" w:lineRule="auto"/>
              <w:jc w:val="right"/>
            </w:pPr>
            <w:r>
              <w:rPr>
                <w:sz w:val="18"/>
              </w:rPr>
              <w:t>983,38</w:t>
            </w:r>
          </w:p>
        </w:tc>
        <w:tc>
          <w:tcPr>
            <w:tcW w:w="700" w:type="dxa"/>
            <w:tcMar>
              <w:top w:w="0" w:type="dxa"/>
              <w:bottom w:w="0" w:type="dxa"/>
            </w:tcMar>
            <w:vAlign w:val="center"/>
          </w:tcPr>
          <w:p w14:paraId="1A60EDF0" w14:textId="77777777" w:rsidR="00BA797F" w:rsidRDefault="00000000">
            <w:pPr>
              <w:keepNext/>
              <w:keepLines/>
              <w:spacing w:after="0" w:line="240" w:lineRule="auto"/>
              <w:jc w:val="right"/>
            </w:pPr>
            <w:r>
              <w:rPr>
                <w:sz w:val="18"/>
              </w:rPr>
              <w:t>219,3</w:t>
            </w:r>
          </w:p>
        </w:tc>
      </w:tr>
    </w:tbl>
    <w:p w14:paraId="51BACD89" w14:textId="77777777" w:rsidR="00BA797F" w:rsidRDefault="00BA797F">
      <w:pPr>
        <w:spacing w:after="0"/>
      </w:pPr>
    </w:p>
    <w:p w14:paraId="066BDCA3" w14:textId="2B5AD0BB" w:rsidR="00BA797F" w:rsidRDefault="00000000">
      <w:r>
        <w:t xml:space="preserve">34 Financijski rashodi su uvećani dva puta u odnosu na isti period prethodne godine i iznose </w:t>
      </w:r>
      <w:r>
        <w:rPr>
          <w:b/>
        </w:rPr>
        <w:t>983,38€ .</w:t>
      </w:r>
      <w:r>
        <w:t xml:space="preserve"> Zbog uvođenja dva potpisa na nalozima za plaćanje bilo je potrebno zatražiti nove tokene, </w:t>
      </w:r>
      <w:r w:rsidR="006E3943">
        <w:t>uslijedile</w:t>
      </w:r>
      <w:r>
        <w:t xml:space="preserve"> su izmjene u korištenju kreditnih kartica koje su sada koriste u istoj banci u kojoj je i račun zbog jednostavnijeg praćenja troškova, što je uzrokovalo znatnija povećanja u bankovnim troškovima i troškovima platnog prometa.</w:t>
      </w:r>
    </w:p>
    <w:p w14:paraId="72FC00D9" w14:textId="77777777" w:rsidR="00BA797F" w:rsidRDefault="00BA797F"/>
    <w:p w14:paraId="48B98868" w14:textId="77777777" w:rsidR="00BA797F"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387743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B2D620"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CD4305"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90F5E6"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3665A6"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E67D20"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5B1D13" w14:textId="77777777" w:rsidR="00BA797F" w:rsidRDefault="00000000">
            <w:pPr>
              <w:keepNext/>
              <w:keepLines/>
              <w:spacing w:after="0" w:line="240" w:lineRule="auto"/>
              <w:jc w:val="center"/>
            </w:pPr>
            <w:r>
              <w:rPr>
                <w:b/>
                <w:sz w:val="18"/>
              </w:rPr>
              <w:t>Indeks (%)</w:t>
            </w:r>
          </w:p>
        </w:tc>
      </w:tr>
      <w:tr w:rsidR="00BA797F" w14:paraId="23BA0FFF" w14:textId="77777777">
        <w:tblPrEx>
          <w:tblCellMar>
            <w:top w:w="0" w:type="dxa"/>
            <w:bottom w:w="0" w:type="dxa"/>
          </w:tblCellMar>
        </w:tblPrEx>
        <w:trPr>
          <w:cantSplit/>
          <w:trHeight w:val="560"/>
        </w:trPr>
        <w:tc>
          <w:tcPr>
            <w:tcW w:w="700" w:type="dxa"/>
            <w:tcMar>
              <w:top w:w="0" w:type="dxa"/>
              <w:bottom w:w="0" w:type="dxa"/>
            </w:tcMar>
            <w:vAlign w:val="center"/>
          </w:tcPr>
          <w:p w14:paraId="526C6C10" w14:textId="77777777" w:rsidR="00BA797F" w:rsidRDefault="00000000">
            <w:pPr>
              <w:keepNext/>
              <w:keepLines/>
              <w:spacing w:after="0" w:line="240" w:lineRule="auto"/>
            </w:pPr>
            <w:r>
              <w:rPr>
                <w:sz w:val="18"/>
              </w:rPr>
              <w:t>3433</w:t>
            </w:r>
          </w:p>
        </w:tc>
        <w:tc>
          <w:tcPr>
            <w:tcW w:w="3180" w:type="dxa"/>
            <w:tcMar>
              <w:top w:w="0" w:type="dxa"/>
              <w:bottom w:w="0" w:type="dxa"/>
            </w:tcMar>
            <w:vAlign w:val="center"/>
          </w:tcPr>
          <w:p w14:paraId="247A7356" w14:textId="77777777" w:rsidR="00BA797F" w:rsidRDefault="00000000">
            <w:pPr>
              <w:keepNext/>
              <w:keepLines/>
              <w:spacing w:after="0" w:line="240" w:lineRule="auto"/>
            </w:pPr>
            <w:r>
              <w:rPr>
                <w:sz w:val="18"/>
              </w:rPr>
              <w:t>Zatezne kamate</w:t>
            </w:r>
          </w:p>
        </w:tc>
        <w:tc>
          <w:tcPr>
            <w:tcW w:w="700" w:type="dxa"/>
            <w:tcMar>
              <w:top w:w="0" w:type="dxa"/>
              <w:bottom w:w="0" w:type="dxa"/>
            </w:tcMar>
            <w:vAlign w:val="center"/>
          </w:tcPr>
          <w:p w14:paraId="08A775B3" w14:textId="77777777" w:rsidR="00BA797F" w:rsidRDefault="00000000">
            <w:pPr>
              <w:keepNext/>
              <w:keepLines/>
              <w:spacing w:after="0" w:line="240" w:lineRule="auto"/>
            </w:pPr>
            <w:r>
              <w:rPr>
                <w:sz w:val="18"/>
              </w:rPr>
              <w:t>3433</w:t>
            </w:r>
          </w:p>
        </w:tc>
        <w:tc>
          <w:tcPr>
            <w:tcW w:w="1860" w:type="dxa"/>
            <w:tcMar>
              <w:top w:w="0" w:type="dxa"/>
              <w:bottom w:w="0" w:type="dxa"/>
            </w:tcMar>
            <w:vAlign w:val="center"/>
          </w:tcPr>
          <w:p w14:paraId="1B5B0422" w14:textId="77777777" w:rsidR="00BA797F" w:rsidRDefault="00000000">
            <w:pPr>
              <w:keepNext/>
              <w:keepLines/>
              <w:spacing w:after="0" w:line="240" w:lineRule="auto"/>
              <w:jc w:val="right"/>
            </w:pPr>
            <w:r>
              <w:rPr>
                <w:sz w:val="18"/>
              </w:rPr>
              <w:t>32,10</w:t>
            </w:r>
          </w:p>
        </w:tc>
        <w:tc>
          <w:tcPr>
            <w:tcW w:w="1860" w:type="dxa"/>
            <w:tcMar>
              <w:top w:w="0" w:type="dxa"/>
              <w:bottom w:w="0" w:type="dxa"/>
            </w:tcMar>
            <w:vAlign w:val="center"/>
          </w:tcPr>
          <w:p w14:paraId="0DBA575C" w14:textId="77777777" w:rsidR="00BA797F" w:rsidRDefault="00000000">
            <w:pPr>
              <w:keepNext/>
              <w:keepLines/>
              <w:spacing w:after="0" w:line="240" w:lineRule="auto"/>
              <w:jc w:val="right"/>
            </w:pPr>
            <w:r>
              <w:rPr>
                <w:sz w:val="18"/>
              </w:rPr>
              <w:t>147,78</w:t>
            </w:r>
          </w:p>
        </w:tc>
        <w:tc>
          <w:tcPr>
            <w:tcW w:w="700" w:type="dxa"/>
            <w:tcMar>
              <w:top w:w="0" w:type="dxa"/>
              <w:bottom w:w="0" w:type="dxa"/>
            </w:tcMar>
            <w:vAlign w:val="center"/>
          </w:tcPr>
          <w:p w14:paraId="40B61114" w14:textId="77777777" w:rsidR="00BA797F" w:rsidRDefault="00000000">
            <w:pPr>
              <w:keepNext/>
              <w:keepLines/>
              <w:spacing w:after="0" w:line="240" w:lineRule="auto"/>
              <w:jc w:val="right"/>
            </w:pPr>
            <w:r>
              <w:rPr>
                <w:sz w:val="18"/>
              </w:rPr>
              <w:t>460,4</w:t>
            </w:r>
          </w:p>
        </w:tc>
      </w:tr>
    </w:tbl>
    <w:p w14:paraId="34047A69" w14:textId="77777777" w:rsidR="00BA797F" w:rsidRDefault="00BA797F">
      <w:pPr>
        <w:spacing w:after="0"/>
      </w:pPr>
    </w:p>
    <w:p w14:paraId="2AD8E0A4" w14:textId="77777777" w:rsidR="00BA797F" w:rsidRDefault="00000000">
      <w:r>
        <w:t xml:space="preserve">U 2025. godini troškovi kamata su se uvećali za gotovo 5 puta u odnosu na isti period prethodne godine i iznose </w:t>
      </w:r>
      <w:r>
        <w:rPr>
          <w:b/>
        </w:rPr>
        <w:t>147,78€.</w:t>
      </w:r>
      <w:r>
        <w:t xml:space="preserve"> Razlog je obračun kamata od strane Gradskog ureda za prostorno uređenje  i Gradskog stambenog komunalnog gospodarstva koji nisu na vrijeme dostavili račune za prostor u Mislavovoj 18 i stoga naplatili zatezne kamate.</w:t>
      </w:r>
    </w:p>
    <w:p w14:paraId="5D2ECCE4" w14:textId="77777777" w:rsidR="00BA797F" w:rsidRDefault="00BA797F"/>
    <w:p w14:paraId="67773472" w14:textId="77777777" w:rsidR="00BA797F"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3A74F4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23EFA6"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ADA545"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AA2C78"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78E0B8"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51C69C"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3D51B9" w14:textId="77777777" w:rsidR="00BA797F" w:rsidRDefault="00000000">
            <w:pPr>
              <w:keepNext/>
              <w:keepLines/>
              <w:spacing w:after="0" w:line="240" w:lineRule="auto"/>
              <w:jc w:val="center"/>
            </w:pPr>
            <w:r>
              <w:rPr>
                <w:b/>
                <w:sz w:val="18"/>
              </w:rPr>
              <w:t>Indeks (%)</w:t>
            </w:r>
          </w:p>
        </w:tc>
      </w:tr>
      <w:tr w:rsidR="00BA797F" w14:paraId="4D29724D" w14:textId="77777777">
        <w:tblPrEx>
          <w:tblCellMar>
            <w:top w:w="0" w:type="dxa"/>
            <w:bottom w:w="0" w:type="dxa"/>
          </w:tblCellMar>
        </w:tblPrEx>
        <w:trPr>
          <w:cantSplit/>
          <w:trHeight w:val="560"/>
        </w:trPr>
        <w:tc>
          <w:tcPr>
            <w:tcW w:w="700" w:type="dxa"/>
            <w:tcMar>
              <w:top w:w="0" w:type="dxa"/>
              <w:bottom w:w="0" w:type="dxa"/>
            </w:tcMar>
            <w:vAlign w:val="center"/>
          </w:tcPr>
          <w:p w14:paraId="33C97277" w14:textId="77777777" w:rsidR="00BA797F" w:rsidRDefault="00000000">
            <w:pPr>
              <w:keepNext/>
              <w:keepLines/>
              <w:spacing w:after="0" w:line="240" w:lineRule="auto"/>
            </w:pPr>
            <w:r>
              <w:rPr>
                <w:sz w:val="18"/>
              </w:rPr>
              <w:t>42</w:t>
            </w:r>
          </w:p>
        </w:tc>
        <w:tc>
          <w:tcPr>
            <w:tcW w:w="3180" w:type="dxa"/>
            <w:tcMar>
              <w:top w:w="0" w:type="dxa"/>
              <w:bottom w:w="0" w:type="dxa"/>
            </w:tcMar>
            <w:vAlign w:val="center"/>
          </w:tcPr>
          <w:p w14:paraId="52391792" w14:textId="77777777" w:rsidR="00BA797F"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734A1BCB" w14:textId="77777777" w:rsidR="00BA797F" w:rsidRDefault="00000000">
            <w:pPr>
              <w:keepNext/>
              <w:keepLines/>
              <w:spacing w:after="0" w:line="240" w:lineRule="auto"/>
            </w:pPr>
            <w:r>
              <w:rPr>
                <w:sz w:val="18"/>
              </w:rPr>
              <w:t>42</w:t>
            </w:r>
          </w:p>
        </w:tc>
        <w:tc>
          <w:tcPr>
            <w:tcW w:w="1860" w:type="dxa"/>
            <w:tcMar>
              <w:top w:w="0" w:type="dxa"/>
              <w:bottom w:w="0" w:type="dxa"/>
            </w:tcMar>
            <w:vAlign w:val="center"/>
          </w:tcPr>
          <w:p w14:paraId="7D194031" w14:textId="77777777" w:rsidR="00BA797F" w:rsidRDefault="00000000">
            <w:pPr>
              <w:keepNext/>
              <w:keepLines/>
              <w:spacing w:after="0" w:line="240" w:lineRule="auto"/>
              <w:jc w:val="right"/>
            </w:pPr>
            <w:r>
              <w:rPr>
                <w:sz w:val="18"/>
              </w:rPr>
              <w:t>59.592,01</w:t>
            </w:r>
          </w:p>
        </w:tc>
        <w:tc>
          <w:tcPr>
            <w:tcW w:w="1860" w:type="dxa"/>
            <w:tcMar>
              <w:top w:w="0" w:type="dxa"/>
              <w:bottom w:w="0" w:type="dxa"/>
            </w:tcMar>
            <w:vAlign w:val="center"/>
          </w:tcPr>
          <w:p w14:paraId="4CC084F9" w14:textId="77777777" w:rsidR="00BA797F" w:rsidRDefault="00000000">
            <w:pPr>
              <w:keepNext/>
              <w:keepLines/>
              <w:spacing w:after="0" w:line="240" w:lineRule="auto"/>
              <w:jc w:val="right"/>
            </w:pPr>
            <w:r>
              <w:rPr>
                <w:sz w:val="18"/>
              </w:rPr>
              <w:t>71.149,26</w:t>
            </w:r>
          </w:p>
        </w:tc>
        <w:tc>
          <w:tcPr>
            <w:tcW w:w="700" w:type="dxa"/>
            <w:tcMar>
              <w:top w:w="0" w:type="dxa"/>
              <w:bottom w:w="0" w:type="dxa"/>
            </w:tcMar>
            <w:vAlign w:val="center"/>
          </w:tcPr>
          <w:p w14:paraId="10BA10F6" w14:textId="77777777" w:rsidR="00BA797F" w:rsidRDefault="00000000">
            <w:pPr>
              <w:keepNext/>
              <w:keepLines/>
              <w:spacing w:after="0" w:line="240" w:lineRule="auto"/>
              <w:jc w:val="right"/>
            </w:pPr>
            <w:r>
              <w:rPr>
                <w:sz w:val="18"/>
              </w:rPr>
              <w:t>119,4</w:t>
            </w:r>
          </w:p>
        </w:tc>
      </w:tr>
    </w:tbl>
    <w:p w14:paraId="4A12D202" w14:textId="77777777" w:rsidR="00BA797F" w:rsidRDefault="00BA797F">
      <w:pPr>
        <w:spacing w:after="0"/>
      </w:pPr>
    </w:p>
    <w:p w14:paraId="4F0F6EFE" w14:textId="77777777" w:rsidR="00BA797F" w:rsidRDefault="00000000">
      <w:r>
        <w:t xml:space="preserve">Tijekom 2025. godine Pogon je nabavio dugotrajne imovine u vrijednosti od </w:t>
      </w:r>
      <w:r>
        <w:rPr>
          <w:b/>
        </w:rPr>
        <w:t>71.149,26€,</w:t>
      </w:r>
      <w:r>
        <w:t xml:space="preserve"> što je za 19,1% više nego u 2024. godini. </w:t>
      </w:r>
    </w:p>
    <w:p w14:paraId="1E21DF11" w14:textId="77777777" w:rsidR="00BA797F" w:rsidRDefault="00000000">
      <w:r>
        <w:t> </w:t>
      </w:r>
    </w:p>
    <w:p w14:paraId="14774C05" w14:textId="77777777" w:rsidR="00BA797F" w:rsidRDefault="00000000">
      <w:r>
        <w:t> </w:t>
      </w:r>
    </w:p>
    <w:p w14:paraId="3FAC222D" w14:textId="77777777" w:rsidR="00BA797F" w:rsidRDefault="00000000">
      <w:r>
        <w:t> </w:t>
      </w:r>
    </w:p>
    <w:p w14:paraId="49A7E154" w14:textId="77777777" w:rsidR="00BA797F" w:rsidRDefault="00000000">
      <w:r>
        <w:t> </w:t>
      </w:r>
    </w:p>
    <w:p w14:paraId="487C2A35" w14:textId="77777777" w:rsidR="00BA797F" w:rsidRDefault="00BA797F"/>
    <w:p w14:paraId="5E6C1329" w14:textId="77777777" w:rsidR="00BA797F"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220F0D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27F8EA"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850DDC"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719DA5"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B98BEC"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39B36D"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A53C82" w14:textId="77777777" w:rsidR="00BA797F" w:rsidRDefault="00000000">
            <w:pPr>
              <w:keepNext/>
              <w:keepLines/>
              <w:spacing w:after="0" w:line="240" w:lineRule="auto"/>
              <w:jc w:val="center"/>
            </w:pPr>
            <w:r>
              <w:rPr>
                <w:b/>
                <w:sz w:val="18"/>
              </w:rPr>
              <w:t>Indeks (%)</w:t>
            </w:r>
          </w:p>
        </w:tc>
      </w:tr>
      <w:tr w:rsidR="00BA797F" w14:paraId="0235367D" w14:textId="77777777">
        <w:tblPrEx>
          <w:tblCellMar>
            <w:top w:w="0" w:type="dxa"/>
            <w:bottom w:w="0" w:type="dxa"/>
          </w:tblCellMar>
        </w:tblPrEx>
        <w:trPr>
          <w:cantSplit/>
          <w:trHeight w:val="560"/>
        </w:trPr>
        <w:tc>
          <w:tcPr>
            <w:tcW w:w="700" w:type="dxa"/>
            <w:tcMar>
              <w:top w:w="0" w:type="dxa"/>
              <w:bottom w:w="0" w:type="dxa"/>
            </w:tcMar>
            <w:vAlign w:val="center"/>
          </w:tcPr>
          <w:p w14:paraId="36947BF5" w14:textId="77777777" w:rsidR="00BA797F" w:rsidRDefault="00000000">
            <w:pPr>
              <w:keepNext/>
              <w:keepLines/>
              <w:spacing w:after="0" w:line="240" w:lineRule="auto"/>
            </w:pPr>
            <w:r>
              <w:rPr>
                <w:sz w:val="18"/>
              </w:rPr>
              <w:t>4221</w:t>
            </w:r>
          </w:p>
        </w:tc>
        <w:tc>
          <w:tcPr>
            <w:tcW w:w="3180" w:type="dxa"/>
            <w:tcMar>
              <w:top w:w="0" w:type="dxa"/>
              <w:bottom w:w="0" w:type="dxa"/>
            </w:tcMar>
            <w:vAlign w:val="center"/>
          </w:tcPr>
          <w:p w14:paraId="79642C35" w14:textId="77777777" w:rsidR="00BA797F"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1300F507" w14:textId="77777777" w:rsidR="00BA797F" w:rsidRDefault="00000000">
            <w:pPr>
              <w:keepNext/>
              <w:keepLines/>
              <w:spacing w:after="0" w:line="240" w:lineRule="auto"/>
            </w:pPr>
            <w:r>
              <w:rPr>
                <w:sz w:val="18"/>
              </w:rPr>
              <w:t>4221</w:t>
            </w:r>
          </w:p>
        </w:tc>
        <w:tc>
          <w:tcPr>
            <w:tcW w:w="1860" w:type="dxa"/>
            <w:tcMar>
              <w:top w:w="0" w:type="dxa"/>
              <w:bottom w:w="0" w:type="dxa"/>
            </w:tcMar>
            <w:vAlign w:val="center"/>
          </w:tcPr>
          <w:p w14:paraId="26C4C61E" w14:textId="77777777" w:rsidR="00BA797F" w:rsidRDefault="00000000">
            <w:pPr>
              <w:keepNext/>
              <w:keepLines/>
              <w:spacing w:after="0" w:line="240" w:lineRule="auto"/>
              <w:jc w:val="right"/>
            </w:pPr>
            <w:r>
              <w:rPr>
                <w:sz w:val="18"/>
              </w:rPr>
              <w:t>4.849,10</w:t>
            </w:r>
          </w:p>
        </w:tc>
        <w:tc>
          <w:tcPr>
            <w:tcW w:w="1860" w:type="dxa"/>
            <w:tcMar>
              <w:top w:w="0" w:type="dxa"/>
              <w:bottom w:w="0" w:type="dxa"/>
            </w:tcMar>
            <w:vAlign w:val="center"/>
          </w:tcPr>
          <w:p w14:paraId="65F125B1" w14:textId="77777777" w:rsidR="00BA797F" w:rsidRDefault="00000000">
            <w:pPr>
              <w:keepNext/>
              <w:keepLines/>
              <w:spacing w:after="0" w:line="240" w:lineRule="auto"/>
              <w:jc w:val="right"/>
            </w:pPr>
            <w:r>
              <w:rPr>
                <w:sz w:val="18"/>
              </w:rPr>
              <w:t>5.978,89</w:t>
            </w:r>
          </w:p>
        </w:tc>
        <w:tc>
          <w:tcPr>
            <w:tcW w:w="700" w:type="dxa"/>
            <w:tcMar>
              <w:top w:w="0" w:type="dxa"/>
              <w:bottom w:w="0" w:type="dxa"/>
            </w:tcMar>
            <w:vAlign w:val="center"/>
          </w:tcPr>
          <w:p w14:paraId="6F3FEB5D" w14:textId="77777777" w:rsidR="00BA797F" w:rsidRDefault="00000000">
            <w:pPr>
              <w:keepNext/>
              <w:keepLines/>
              <w:spacing w:after="0" w:line="240" w:lineRule="auto"/>
              <w:jc w:val="right"/>
            </w:pPr>
            <w:r>
              <w:rPr>
                <w:sz w:val="18"/>
              </w:rPr>
              <w:t>123,3</w:t>
            </w:r>
          </w:p>
        </w:tc>
      </w:tr>
    </w:tbl>
    <w:p w14:paraId="4E781BDF" w14:textId="77777777" w:rsidR="00BA797F" w:rsidRDefault="00BA797F">
      <w:pPr>
        <w:spacing w:after="0"/>
      </w:pPr>
    </w:p>
    <w:p w14:paraId="70D21845" w14:textId="77777777" w:rsidR="00BA797F" w:rsidRDefault="00000000">
      <w:r>
        <w:t xml:space="preserve">Za nabavu uredske opreme i namještaja utrošeno je </w:t>
      </w:r>
      <w:r>
        <w:rPr>
          <w:b/>
        </w:rPr>
        <w:t>5.978,89 €,</w:t>
      </w:r>
      <w:r>
        <w:t xml:space="preserve">   što je za</w:t>
      </w:r>
      <w:r>
        <w:rPr>
          <w:b/>
        </w:rPr>
        <w:t>23,3%</w:t>
      </w:r>
      <w:r>
        <w:t xml:space="preserve"> više. Na navedenoj stavci od početka godine nabavljen je monitor </w:t>
      </w:r>
      <w:proofErr w:type="spellStart"/>
      <w:r>
        <w:t>Assus</w:t>
      </w:r>
      <w:proofErr w:type="spellEnd"/>
      <w:r>
        <w:t xml:space="preserve"> i 4 prijenosna računala s </w:t>
      </w:r>
      <w:proofErr w:type="spellStart"/>
      <w:r>
        <w:t>windowsima</w:t>
      </w:r>
      <w:proofErr w:type="spellEnd"/>
      <w:r>
        <w:t>. Povećanje je nastalo i uslijed nabave uredskog namještaja za opremanje lokacije u kneza Mislava 18 i Pogona Jedinstvo.</w:t>
      </w:r>
    </w:p>
    <w:p w14:paraId="46FA133D" w14:textId="77777777" w:rsidR="00BA797F" w:rsidRDefault="00000000">
      <w:r>
        <w:t> </w:t>
      </w:r>
    </w:p>
    <w:p w14:paraId="02C0F4E3" w14:textId="77777777" w:rsidR="00BA797F" w:rsidRDefault="00BA797F"/>
    <w:p w14:paraId="3F7F6741" w14:textId="77777777" w:rsidR="00BA797F"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072352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A90AB3"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0C3698"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971639"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3C5A9A"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6CB43E"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4B7063" w14:textId="77777777" w:rsidR="00BA797F" w:rsidRDefault="00000000">
            <w:pPr>
              <w:keepNext/>
              <w:keepLines/>
              <w:spacing w:after="0" w:line="240" w:lineRule="auto"/>
              <w:jc w:val="center"/>
            </w:pPr>
            <w:r>
              <w:rPr>
                <w:b/>
                <w:sz w:val="18"/>
              </w:rPr>
              <w:t>Indeks (%)</w:t>
            </w:r>
          </w:p>
        </w:tc>
      </w:tr>
      <w:tr w:rsidR="00BA797F" w14:paraId="07878BE6" w14:textId="77777777">
        <w:tblPrEx>
          <w:tblCellMar>
            <w:top w:w="0" w:type="dxa"/>
            <w:bottom w:w="0" w:type="dxa"/>
          </w:tblCellMar>
        </w:tblPrEx>
        <w:trPr>
          <w:cantSplit/>
          <w:trHeight w:val="560"/>
        </w:trPr>
        <w:tc>
          <w:tcPr>
            <w:tcW w:w="700" w:type="dxa"/>
            <w:tcMar>
              <w:top w:w="0" w:type="dxa"/>
              <w:bottom w:w="0" w:type="dxa"/>
            </w:tcMar>
            <w:vAlign w:val="center"/>
          </w:tcPr>
          <w:p w14:paraId="712DE9E1" w14:textId="77777777" w:rsidR="00BA797F" w:rsidRDefault="00000000">
            <w:pPr>
              <w:keepNext/>
              <w:keepLines/>
              <w:spacing w:after="0" w:line="240" w:lineRule="auto"/>
            </w:pPr>
            <w:r>
              <w:rPr>
                <w:sz w:val="18"/>
              </w:rPr>
              <w:t>4222</w:t>
            </w:r>
          </w:p>
        </w:tc>
        <w:tc>
          <w:tcPr>
            <w:tcW w:w="3180" w:type="dxa"/>
            <w:tcMar>
              <w:top w:w="0" w:type="dxa"/>
              <w:bottom w:w="0" w:type="dxa"/>
            </w:tcMar>
            <w:vAlign w:val="center"/>
          </w:tcPr>
          <w:p w14:paraId="09724C89" w14:textId="77777777" w:rsidR="00BA797F" w:rsidRDefault="00000000">
            <w:pPr>
              <w:keepNext/>
              <w:keepLines/>
              <w:spacing w:after="0" w:line="240" w:lineRule="auto"/>
            </w:pPr>
            <w:r>
              <w:rPr>
                <w:sz w:val="18"/>
              </w:rPr>
              <w:t>Komunikacijska oprema</w:t>
            </w:r>
          </w:p>
        </w:tc>
        <w:tc>
          <w:tcPr>
            <w:tcW w:w="700" w:type="dxa"/>
            <w:tcMar>
              <w:top w:w="0" w:type="dxa"/>
              <w:bottom w:w="0" w:type="dxa"/>
            </w:tcMar>
            <w:vAlign w:val="center"/>
          </w:tcPr>
          <w:p w14:paraId="00EED78D" w14:textId="77777777" w:rsidR="00BA797F" w:rsidRDefault="00000000">
            <w:pPr>
              <w:keepNext/>
              <w:keepLines/>
              <w:spacing w:after="0" w:line="240" w:lineRule="auto"/>
            </w:pPr>
            <w:r>
              <w:rPr>
                <w:sz w:val="18"/>
              </w:rPr>
              <w:t>4222</w:t>
            </w:r>
          </w:p>
        </w:tc>
        <w:tc>
          <w:tcPr>
            <w:tcW w:w="1860" w:type="dxa"/>
            <w:tcMar>
              <w:top w:w="0" w:type="dxa"/>
              <w:bottom w:w="0" w:type="dxa"/>
            </w:tcMar>
            <w:vAlign w:val="center"/>
          </w:tcPr>
          <w:p w14:paraId="65CFDD0A" w14:textId="77777777" w:rsidR="00BA797F" w:rsidRDefault="00000000">
            <w:pPr>
              <w:keepNext/>
              <w:keepLines/>
              <w:spacing w:after="0" w:line="240" w:lineRule="auto"/>
              <w:jc w:val="right"/>
            </w:pPr>
            <w:r>
              <w:rPr>
                <w:sz w:val="18"/>
              </w:rPr>
              <w:t>124,90</w:t>
            </w:r>
          </w:p>
        </w:tc>
        <w:tc>
          <w:tcPr>
            <w:tcW w:w="1860" w:type="dxa"/>
            <w:tcMar>
              <w:top w:w="0" w:type="dxa"/>
              <w:bottom w:w="0" w:type="dxa"/>
            </w:tcMar>
            <w:vAlign w:val="center"/>
          </w:tcPr>
          <w:p w14:paraId="725FB7E6" w14:textId="77777777" w:rsidR="00BA797F" w:rsidRDefault="00000000">
            <w:pPr>
              <w:keepNext/>
              <w:keepLines/>
              <w:spacing w:after="0" w:line="240" w:lineRule="auto"/>
              <w:jc w:val="right"/>
            </w:pPr>
            <w:r>
              <w:rPr>
                <w:sz w:val="18"/>
              </w:rPr>
              <w:t>1.649,00</w:t>
            </w:r>
          </w:p>
        </w:tc>
        <w:tc>
          <w:tcPr>
            <w:tcW w:w="700" w:type="dxa"/>
            <w:tcMar>
              <w:top w:w="0" w:type="dxa"/>
              <w:bottom w:w="0" w:type="dxa"/>
            </w:tcMar>
            <w:vAlign w:val="center"/>
          </w:tcPr>
          <w:p w14:paraId="5D1EF41B" w14:textId="77777777" w:rsidR="00BA797F" w:rsidRDefault="00000000">
            <w:pPr>
              <w:keepNext/>
              <w:keepLines/>
              <w:spacing w:after="0" w:line="240" w:lineRule="auto"/>
              <w:jc w:val="right"/>
            </w:pPr>
            <w:r>
              <w:rPr>
                <w:sz w:val="18"/>
              </w:rPr>
              <w:t>1320,3</w:t>
            </w:r>
          </w:p>
        </w:tc>
      </w:tr>
    </w:tbl>
    <w:p w14:paraId="760EB318" w14:textId="77777777" w:rsidR="00BA797F" w:rsidRDefault="00BA797F">
      <w:pPr>
        <w:spacing w:after="0"/>
      </w:pPr>
    </w:p>
    <w:p w14:paraId="2CF996EE" w14:textId="77777777" w:rsidR="00BA797F" w:rsidRDefault="00000000">
      <w:r>
        <w:t xml:space="preserve">Izdaci za komunikacijsku opremu u iznosu od </w:t>
      </w:r>
      <w:r>
        <w:rPr>
          <w:b/>
        </w:rPr>
        <w:t>1.649,00 €</w:t>
      </w:r>
      <w:r>
        <w:t xml:space="preserve"> utrošeni su za nabavu dva televizora, a nabavljena je induktivnu petlja za bolju pristupačnost osobama s oštećenjem sluha na adresi Mislavova 18 i opremu za instalaciju pomoću koje će biti izložena arhiva programa u Pogonu Jedinstvo.</w:t>
      </w:r>
    </w:p>
    <w:p w14:paraId="7E2001FF" w14:textId="77777777" w:rsidR="00BA797F" w:rsidRDefault="00BA797F"/>
    <w:p w14:paraId="2CF9962A" w14:textId="77777777" w:rsidR="00BA797F"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03D9C6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028CEA"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E4EE09"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8CA104"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09F6D0"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4E53AC"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EC933F" w14:textId="77777777" w:rsidR="00BA797F" w:rsidRDefault="00000000">
            <w:pPr>
              <w:keepNext/>
              <w:keepLines/>
              <w:spacing w:after="0" w:line="240" w:lineRule="auto"/>
              <w:jc w:val="center"/>
            </w:pPr>
            <w:r>
              <w:rPr>
                <w:b/>
                <w:sz w:val="18"/>
              </w:rPr>
              <w:t>Indeks (%)</w:t>
            </w:r>
          </w:p>
        </w:tc>
      </w:tr>
      <w:tr w:rsidR="00BA797F" w14:paraId="172A5A7E" w14:textId="77777777">
        <w:tblPrEx>
          <w:tblCellMar>
            <w:top w:w="0" w:type="dxa"/>
            <w:bottom w:w="0" w:type="dxa"/>
          </w:tblCellMar>
        </w:tblPrEx>
        <w:trPr>
          <w:cantSplit/>
          <w:trHeight w:val="560"/>
        </w:trPr>
        <w:tc>
          <w:tcPr>
            <w:tcW w:w="700" w:type="dxa"/>
            <w:tcMar>
              <w:top w:w="0" w:type="dxa"/>
              <w:bottom w:w="0" w:type="dxa"/>
            </w:tcMar>
            <w:vAlign w:val="center"/>
          </w:tcPr>
          <w:p w14:paraId="54A8DA1B" w14:textId="77777777" w:rsidR="00BA797F" w:rsidRDefault="00000000">
            <w:pPr>
              <w:keepNext/>
              <w:keepLines/>
              <w:spacing w:after="0" w:line="240" w:lineRule="auto"/>
            </w:pPr>
            <w:r>
              <w:rPr>
                <w:sz w:val="18"/>
              </w:rPr>
              <w:t>4223</w:t>
            </w:r>
          </w:p>
        </w:tc>
        <w:tc>
          <w:tcPr>
            <w:tcW w:w="3180" w:type="dxa"/>
            <w:tcMar>
              <w:top w:w="0" w:type="dxa"/>
              <w:bottom w:w="0" w:type="dxa"/>
            </w:tcMar>
            <w:vAlign w:val="center"/>
          </w:tcPr>
          <w:p w14:paraId="6CC41B2B" w14:textId="77777777" w:rsidR="00BA797F"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3A5326E6" w14:textId="77777777" w:rsidR="00BA797F" w:rsidRDefault="00000000">
            <w:pPr>
              <w:keepNext/>
              <w:keepLines/>
              <w:spacing w:after="0" w:line="240" w:lineRule="auto"/>
            </w:pPr>
            <w:r>
              <w:rPr>
                <w:sz w:val="18"/>
              </w:rPr>
              <w:t>4223</w:t>
            </w:r>
          </w:p>
        </w:tc>
        <w:tc>
          <w:tcPr>
            <w:tcW w:w="1860" w:type="dxa"/>
            <w:tcMar>
              <w:top w:w="0" w:type="dxa"/>
              <w:bottom w:w="0" w:type="dxa"/>
            </w:tcMar>
            <w:vAlign w:val="center"/>
          </w:tcPr>
          <w:p w14:paraId="23081D26" w14:textId="77777777" w:rsidR="00BA797F" w:rsidRDefault="00000000">
            <w:pPr>
              <w:keepNext/>
              <w:keepLines/>
              <w:spacing w:after="0" w:line="240" w:lineRule="auto"/>
              <w:jc w:val="right"/>
            </w:pPr>
            <w:r>
              <w:rPr>
                <w:sz w:val="18"/>
              </w:rPr>
              <w:t>14.722,70</w:t>
            </w:r>
          </w:p>
        </w:tc>
        <w:tc>
          <w:tcPr>
            <w:tcW w:w="1860" w:type="dxa"/>
            <w:tcMar>
              <w:top w:w="0" w:type="dxa"/>
              <w:bottom w:w="0" w:type="dxa"/>
            </w:tcMar>
            <w:vAlign w:val="center"/>
          </w:tcPr>
          <w:p w14:paraId="0952FB3F" w14:textId="77777777" w:rsidR="00BA797F" w:rsidRDefault="00000000">
            <w:pPr>
              <w:keepNext/>
              <w:keepLines/>
              <w:spacing w:after="0" w:line="240" w:lineRule="auto"/>
              <w:jc w:val="right"/>
            </w:pPr>
            <w:r>
              <w:rPr>
                <w:sz w:val="18"/>
              </w:rPr>
              <w:t>17.274,71</w:t>
            </w:r>
          </w:p>
        </w:tc>
        <w:tc>
          <w:tcPr>
            <w:tcW w:w="700" w:type="dxa"/>
            <w:tcMar>
              <w:top w:w="0" w:type="dxa"/>
              <w:bottom w:w="0" w:type="dxa"/>
            </w:tcMar>
            <w:vAlign w:val="center"/>
          </w:tcPr>
          <w:p w14:paraId="4F7D5B74" w14:textId="77777777" w:rsidR="00BA797F" w:rsidRDefault="00000000">
            <w:pPr>
              <w:keepNext/>
              <w:keepLines/>
              <w:spacing w:after="0" w:line="240" w:lineRule="auto"/>
              <w:jc w:val="right"/>
            </w:pPr>
            <w:r>
              <w:rPr>
                <w:sz w:val="18"/>
              </w:rPr>
              <w:t>117,3</w:t>
            </w:r>
          </w:p>
        </w:tc>
      </w:tr>
    </w:tbl>
    <w:p w14:paraId="4EDE5616" w14:textId="77777777" w:rsidR="00BA797F" w:rsidRDefault="00BA797F">
      <w:pPr>
        <w:spacing w:after="0"/>
      </w:pPr>
    </w:p>
    <w:p w14:paraId="42995A51" w14:textId="77777777" w:rsidR="00BA797F" w:rsidRDefault="00000000">
      <w:r>
        <w:t xml:space="preserve">Na navedenom računu iz računskog plana nabavljen je klima uređaj za ured u Mislavovoj 18, ugrađen je vatrodojavni sustav u podrumu Pogona Jedinstvo i metalni podest - rampa na ulazu u </w:t>
      </w:r>
      <w:proofErr w:type="spellStart"/>
      <w:r>
        <w:t>zapozorje</w:t>
      </w:r>
      <w:proofErr w:type="spellEnd"/>
      <w:r>
        <w:t xml:space="preserve">, ugrađena su protupožarna vrata i prozor. Pribavljeni su </w:t>
      </w:r>
      <w:proofErr w:type="spellStart"/>
      <w:r>
        <w:t>visokootporni</w:t>
      </w:r>
      <w:proofErr w:type="spellEnd"/>
      <w:r>
        <w:t xml:space="preserve"> lanci i zbog dotrajalosti su zamijenjena ulazna vrata u malu dvoranu sa štokovima. Pribavljene su mobilne ograde i dodatni detektor pokreta za alarmni sustav u Pogonu Jedinstvo. Na adresi Mislavova 18 zamijenili smo 3 bojlera te pod u podrumu radi velike vlage koja se uvukla tijekom godina u </w:t>
      </w:r>
      <w:proofErr w:type="spellStart"/>
      <w:r>
        <w:t>tepison</w:t>
      </w:r>
      <w:proofErr w:type="spellEnd"/>
      <w:r>
        <w:t xml:space="preserve">. Nabavljen je  klima uređaj za ured u Pogonu Jedinstvo. Ukupno je utrošeno </w:t>
      </w:r>
      <w:r>
        <w:rPr>
          <w:b/>
        </w:rPr>
        <w:t>17.274,71 €,</w:t>
      </w:r>
      <w:r>
        <w:t xml:space="preserve"> što je za 17,3% više nego u 2024. godini.</w:t>
      </w:r>
    </w:p>
    <w:p w14:paraId="102AA47A" w14:textId="77777777" w:rsidR="00BA797F" w:rsidRDefault="00BA797F"/>
    <w:p w14:paraId="4EF4A7FF" w14:textId="77777777" w:rsidR="00BA797F" w:rsidRDefault="0000000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13271B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DDCD03"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0EAABB"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B89C14"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48846E"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0D4FA4"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B5450F" w14:textId="77777777" w:rsidR="00BA797F" w:rsidRDefault="00000000">
            <w:pPr>
              <w:keepNext/>
              <w:keepLines/>
              <w:spacing w:after="0" w:line="240" w:lineRule="auto"/>
              <w:jc w:val="center"/>
            </w:pPr>
            <w:r>
              <w:rPr>
                <w:b/>
                <w:sz w:val="18"/>
              </w:rPr>
              <w:t>Indeks (%)</w:t>
            </w:r>
          </w:p>
        </w:tc>
      </w:tr>
      <w:tr w:rsidR="00BA797F" w14:paraId="5CF462DB" w14:textId="77777777">
        <w:tblPrEx>
          <w:tblCellMar>
            <w:top w:w="0" w:type="dxa"/>
            <w:bottom w:w="0" w:type="dxa"/>
          </w:tblCellMar>
        </w:tblPrEx>
        <w:trPr>
          <w:cantSplit/>
          <w:trHeight w:val="560"/>
        </w:trPr>
        <w:tc>
          <w:tcPr>
            <w:tcW w:w="700" w:type="dxa"/>
            <w:tcMar>
              <w:top w:w="0" w:type="dxa"/>
              <w:bottom w:w="0" w:type="dxa"/>
            </w:tcMar>
            <w:vAlign w:val="center"/>
          </w:tcPr>
          <w:p w14:paraId="5E4F446B" w14:textId="77777777" w:rsidR="00BA797F" w:rsidRDefault="00000000">
            <w:pPr>
              <w:keepNext/>
              <w:keepLines/>
              <w:spacing w:after="0" w:line="240" w:lineRule="auto"/>
            </w:pPr>
            <w:r>
              <w:rPr>
                <w:sz w:val="18"/>
              </w:rPr>
              <w:t>4226</w:t>
            </w:r>
          </w:p>
        </w:tc>
        <w:tc>
          <w:tcPr>
            <w:tcW w:w="3180" w:type="dxa"/>
            <w:tcMar>
              <w:top w:w="0" w:type="dxa"/>
              <w:bottom w:w="0" w:type="dxa"/>
            </w:tcMar>
            <w:vAlign w:val="center"/>
          </w:tcPr>
          <w:p w14:paraId="2200A8D8" w14:textId="77777777" w:rsidR="00BA797F" w:rsidRDefault="00000000">
            <w:pPr>
              <w:keepNext/>
              <w:keepLines/>
              <w:spacing w:after="0" w:line="240" w:lineRule="auto"/>
            </w:pPr>
            <w:r>
              <w:rPr>
                <w:sz w:val="18"/>
              </w:rPr>
              <w:t>Sportska i glazbena oprema</w:t>
            </w:r>
          </w:p>
        </w:tc>
        <w:tc>
          <w:tcPr>
            <w:tcW w:w="700" w:type="dxa"/>
            <w:tcMar>
              <w:top w:w="0" w:type="dxa"/>
              <w:bottom w:w="0" w:type="dxa"/>
            </w:tcMar>
            <w:vAlign w:val="center"/>
          </w:tcPr>
          <w:p w14:paraId="0E5A367F" w14:textId="77777777" w:rsidR="00BA797F" w:rsidRDefault="00000000">
            <w:pPr>
              <w:keepNext/>
              <w:keepLines/>
              <w:spacing w:after="0" w:line="240" w:lineRule="auto"/>
            </w:pPr>
            <w:r>
              <w:rPr>
                <w:sz w:val="18"/>
              </w:rPr>
              <w:t>4226</w:t>
            </w:r>
          </w:p>
        </w:tc>
        <w:tc>
          <w:tcPr>
            <w:tcW w:w="1860" w:type="dxa"/>
            <w:tcMar>
              <w:top w:w="0" w:type="dxa"/>
              <w:bottom w:w="0" w:type="dxa"/>
            </w:tcMar>
            <w:vAlign w:val="center"/>
          </w:tcPr>
          <w:p w14:paraId="35E95950" w14:textId="77777777" w:rsidR="00BA797F" w:rsidRDefault="00000000">
            <w:pPr>
              <w:keepNext/>
              <w:keepLines/>
              <w:spacing w:after="0" w:line="240" w:lineRule="auto"/>
              <w:jc w:val="right"/>
            </w:pPr>
            <w:r>
              <w:rPr>
                <w:sz w:val="18"/>
              </w:rPr>
              <w:t>23.269,67</w:t>
            </w:r>
          </w:p>
        </w:tc>
        <w:tc>
          <w:tcPr>
            <w:tcW w:w="1860" w:type="dxa"/>
            <w:tcMar>
              <w:top w:w="0" w:type="dxa"/>
              <w:bottom w:w="0" w:type="dxa"/>
            </w:tcMar>
            <w:vAlign w:val="center"/>
          </w:tcPr>
          <w:p w14:paraId="54142E39" w14:textId="77777777" w:rsidR="00BA797F" w:rsidRDefault="00000000">
            <w:pPr>
              <w:keepNext/>
              <w:keepLines/>
              <w:spacing w:after="0" w:line="240" w:lineRule="auto"/>
              <w:jc w:val="right"/>
            </w:pPr>
            <w:r>
              <w:rPr>
                <w:sz w:val="18"/>
              </w:rPr>
              <w:t>32.473,25</w:t>
            </w:r>
          </w:p>
        </w:tc>
        <w:tc>
          <w:tcPr>
            <w:tcW w:w="700" w:type="dxa"/>
            <w:tcMar>
              <w:top w:w="0" w:type="dxa"/>
              <w:bottom w:w="0" w:type="dxa"/>
            </w:tcMar>
            <w:vAlign w:val="center"/>
          </w:tcPr>
          <w:p w14:paraId="253E2A95" w14:textId="77777777" w:rsidR="00BA797F" w:rsidRDefault="00000000">
            <w:pPr>
              <w:keepNext/>
              <w:keepLines/>
              <w:spacing w:after="0" w:line="240" w:lineRule="auto"/>
              <w:jc w:val="right"/>
            </w:pPr>
            <w:r>
              <w:rPr>
                <w:sz w:val="18"/>
              </w:rPr>
              <w:t>139,6</w:t>
            </w:r>
          </w:p>
        </w:tc>
      </w:tr>
    </w:tbl>
    <w:p w14:paraId="26814566" w14:textId="77777777" w:rsidR="00BA797F" w:rsidRDefault="00BA797F">
      <w:pPr>
        <w:spacing w:after="0"/>
      </w:pPr>
    </w:p>
    <w:p w14:paraId="48502BBA" w14:textId="77777777" w:rsidR="00BA797F" w:rsidRDefault="00000000">
      <w:r>
        <w:t xml:space="preserve">Od početka godine nabavljen je veliki šah za igranje na otvorenom te vrtni </w:t>
      </w:r>
      <w:proofErr w:type="spellStart"/>
      <w:r>
        <w:t>mobiliar</w:t>
      </w:r>
      <w:proofErr w:type="spellEnd"/>
      <w:r>
        <w:t xml:space="preserve"> za dvorište Jedinstva. Također je nabavljena glazbena oprema -zvučnici i glazbena ograda u dvorištu. Na navedenom kontu nabavljena je scenska oprema - reflektori/rasvjetna tijela i snimač s pojačalom. Izdaci u 2025. godini iznosili su </w:t>
      </w:r>
      <w:r>
        <w:rPr>
          <w:b/>
        </w:rPr>
        <w:t xml:space="preserve">32.473,25 €, </w:t>
      </w:r>
      <w:r>
        <w:t>što je povećanje od 39,6% u odnosu na 2024. godinu.</w:t>
      </w:r>
    </w:p>
    <w:p w14:paraId="46AA57F6" w14:textId="77777777" w:rsidR="00BA797F" w:rsidRDefault="00BA797F"/>
    <w:p w14:paraId="0FFD4698" w14:textId="77777777" w:rsidR="00BA797F"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72BAC9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8A00FA"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541C70"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D3AF35"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F56FC5"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CDC3DD"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DFD352" w14:textId="77777777" w:rsidR="00BA797F" w:rsidRDefault="00000000">
            <w:pPr>
              <w:keepNext/>
              <w:keepLines/>
              <w:spacing w:after="0" w:line="240" w:lineRule="auto"/>
              <w:jc w:val="center"/>
            </w:pPr>
            <w:r>
              <w:rPr>
                <w:b/>
                <w:sz w:val="18"/>
              </w:rPr>
              <w:t>Indeks (%)</w:t>
            </w:r>
          </w:p>
        </w:tc>
      </w:tr>
      <w:tr w:rsidR="00BA797F" w14:paraId="15EBBD63" w14:textId="77777777">
        <w:tblPrEx>
          <w:tblCellMar>
            <w:top w:w="0" w:type="dxa"/>
            <w:bottom w:w="0" w:type="dxa"/>
          </w:tblCellMar>
        </w:tblPrEx>
        <w:trPr>
          <w:cantSplit/>
          <w:trHeight w:val="560"/>
        </w:trPr>
        <w:tc>
          <w:tcPr>
            <w:tcW w:w="700" w:type="dxa"/>
            <w:tcMar>
              <w:top w:w="0" w:type="dxa"/>
              <w:bottom w:w="0" w:type="dxa"/>
            </w:tcMar>
            <w:vAlign w:val="center"/>
          </w:tcPr>
          <w:p w14:paraId="02BFF6E1" w14:textId="77777777" w:rsidR="00BA797F" w:rsidRDefault="00000000">
            <w:pPr>
              <w:keepNext/>
              <w:keepLines/>
              <w:spacing w:after="0" w:line="240" w:lineRule="auto"/>
            </w:pPr>
            <w:r>
              <w:rPr>
                <w:sz w:val="18"/>
              </w:rPr>
              <w:t>4227</w:t>
            </w:r>
          </w:p>
        </w:tc>
        <w:tc>
          <w:tcPr>
            <w:tcW w:w="3180" w:type="dxa"/>
            <w:tcMar>
              <w:top w:w="0" w:type="dxa"/>
              <w:bottom w:w="0" w:type="dxa"/>
            </w:tcMar>
            <w:vAlign w:val="center"/>
          </w:tcPr>
          <w:p w14:paraId="196ED2A8" w14:textId="77777777" w:rsidR="00BA797F"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4B94445C" w14:textId="77777777" w:rsidR="00BA797F" w:rsidRDefault="00000000">
            <w:pPr>
              <w:keepNext/>
              <w:keepLines/>
              <w:spacing w:after="0" w:line="240" w:lineRule="auto"/>
            </w:pPr>
            <w:r>
              <w:rPr>
                <w:sz w:val="18"/>
              </w:rPr>
              <w:t>4227</w:t>
            </w:r>
          </w:p>
        </w:tc>
        <w:tc>
          <w:tcPr>
            <w:tcW w:w="1860" w:type="dxa"/>
            <w:tcMar>
              <w:top w:w="0" w:type="dxa"/>
              <w:bottom w:w="0" w:type="dxa"/>
            </w:tcMar>
            <w:vAlign w:val="center"/>
          </w:tcPr>
          <w:p w14:paraId="120F5949" w14:textId="77777777" w:rsidR="00BA797F" w:rsidRDefault="00000000">
            <w:pPr>
              <w:keepNext/>
              <w:keepLines/>
              <w:spacing w:after="0" w:line="240" w:lineRule="auto"/>
              <w:jc w:val="right"/>
            </w:pPr>
            <w:r>
              <w:rPr>
                <w:sz w:val="18"/>
              </w:rPr>
              <w:t>16.300,76</w:t>
            </w:r>
          </w:p>
        </w:tc>
        <w:tc>
          <w:tcPr>
            <w:tcW w:w="1860" w:type="dxa"/>
            <w:tcMar>
              <w:top w:w="0" w:type="dxa"/>
              <w:bottom w:w="0" w:type="dxa"/>
            </w:tcMar>
            <w:vAlign w:val="center"/>
          </w:tcPr>
          <w:p w14:paraId="71E11384" w14:textId="77777777" w:rsidR="00BA797F" w:rsidRDefault="00000000">
            <w:pPr>
              <w:keepNext/>
              <w:keepLines/>
              <w:spacing w:after="0" w:line="240" w:lineRule="auto"/>
              <w:jc w:val="right"/>
            </w:pPr>
            <w:r>
              <w:rPr>
                <w:sz w:val="18"/>
              </w:rPr>
              <w:t>13.523,41</w:t>
            </w:r>
          </w:p>
        </w:tc>
        <w:tc>
          <w:tcPr>
            <w:tcW w:w="700" w:type="dxa"/>
            <w:tcMar>
              <w:top w:w="0" w:type="dxa"/>
              <w:bottom w:w="0" w:type="dxa"/>
            </w:tcMar>
            <w:vAlign w:val="center"/>
          </w:tcPr>
          <w:p w14:paraId="62B6B287" w14:textId="77777777" w:rsidR="00BA797F" w:rsidRDefault="00000000">
            <w:pPr>
              <w:keepNext/>
              <w:keepLines/>
              <w:spacing w:after="0" w:line="240" w:lineRule="auto"/>
              <w:jc w:val="right"/>
            </w:pPr>
            <w:r>
              <w:rPr>
                <w:sz w:val="18"/>
              </w:rPr>
              <w:t>83,0</w:t>
            </w:r>
          </w:p>
        </w:tc>
      </w:tr>
    </w:tbl>
    <w:p w14:paraId="0FCD385D" w14:textId="77777777" w:rsidR="00BA797F" w:rsidRDefault="00BA797F">
      <w:pPr>
        <w:spacing w:after="0"/>
      </w:pPr>
    </w:p>
    <w:p w14:paraId="4EF80081" w14:textId="77777777" w:rsidR="00BA797F" w:rsidRDefault="00000000">
      <w:r>
        <w:t xml:space="preserve">Izdaci na računu 4227 Uređaji, strojevi i oprema za ostale namjene ostvareni su u iznosu od </w:t>
      </w:r>
      <w:r>
        <w:rPr>
          <w:b/>
        </w:rPr>
        <w:t xml:space="preserve">13.523,41€, </w:t>
      </w:r>
      <w:r>
        <w:t xml:space="preserve">što je za 17% posto manje nego u periodu prethodne godine. Na ovoj stavci nabavljena su sljedeća osnovna sredstva priručna perilica posuđa za Pogon Jedinstvo te obična vrata i štokovi kako bi se zamijenila stara u Pogonu Jedinstvo. Također je nabavljeno postolje za zastavu u Pogonu Jedinstvo i neonska svjetleća reklama. Nabavljeno je 5 kutija za elektromotorne povlake za </w:t>
      </w:r>
      <w:proofErr w:type="spellStart"/>
      <w:r>
        <w:t>trusseve</w:t>
      </w:r>
      <w:proofErr w:type="spellEnd"/>
      <w:r>
        <w:t>, plesni pod i nova skela za Pogon Jedinstvo. </w:t>
      </w:r>
    </w:p>
    <w:p w14:paraId="1B3841F6" w14:textId="77777777" w:rsidR="00BA797F" w:rsidRDefault="00BA797F"/>
    <w:p w14:paraId="58473FD3" w14:textId="77777777" w:rsidR="00BA797F"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10D8A3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686A1A"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BB493B"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F5117C"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AC8C99"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9ACB05"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6B6398" w14:textId="77777777" w:rsidR="00BA797F" w:rsidRDefault="00000000">
            <w:pPr>
              <w:keepNext/>
              <w:keepLines/>
              <w:spacing w:after="0" w:line="240" w:lineRule="auto"/>
              <w:jc w:val="center"/>
            </w:pPr>
            <w:r>
              <w:rPr>
                <w:b/>
                <w:sz w:val="18"/>
              </w:rPr>
              <w:t>Indeks (%)</w:t>
            </w:r>
          </w:p>
        </w:tc>
      </w:tr>
      <w:tr w:rsidR="00BA797F" w14:paraId="09BE5491" w14:textId="77777777">
        <w:tblPrEx>
          <w:tblCellMar>
            <w:top w:w="0" w:type="dxa"/>
            <w:bottom w:w="0" w:type="dxa"/>
          </w:tblCellMar>
        </w:tblPrEx>
        <w:trPr>
          <w:cantSplit/>
          <w:trHeight w:val="560"/>
        </w:trPr>
        <w:tc>
          <w:tcPr>
            <w:tcW w:w="700" w:type="dxa"/>
            <w:tcMar>
              <w:top w:w="0" w:type="dxa"/>
              <w:bottom w:w="0" w:type="dxa"/>
            </w:tcMar>
            <w:vAlign w:val="center"/>
          </w:tcPr>
          <w:p w14:paraId="621194D1" w14:textId="77777777" w:rsidR="00BA797F" w:rsidRDefault="00000000">
            <w:pPr>
              <w:keepNext/>
              <w:keepLines/>
              <w:spacing w:after="0" w:line="240" w:lineRule="auto"/>
            </w:pPr>
            <w:r>
              <w:rPr>
                <w:sz w:val="18"/>
              </w:rPr>
              <w:t>451</w:t>
            </w:r>
          </w:p>
        </w:tc>
        <w:tc>
          <w:tcPr>
            <w:tcW w:w="3180" w:type="dxa"/>
            <w:tcMar>
              <w:top w:w="0" w:type="dxa"/>
              <w:bottom w:w="0" w:type="dxa"/>
            </w:tcMar>
            <w:vAlign w:val="center"/>
          </w:tcPr>
          <w:p w14:paraId="5786F47C" w14:textId="77777777" w:rsidR="00BA797F"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6F5E1BBA" w14:textId="77777777" w:rsidR="00BA797F" w:rsidRDefault="00000000">
            <w:pPr>
              <w:keepNext/>
              <w:keepLines/>
              <w:spacing w:after="0" w:line="240" w:lineRule="auto"/>
            </w:pPr>
            <w:r>
              <w:rPr>
                <w:sz w:val="18"/>
              </w:rPr>
              <w:t>451</w:t>
            </w:r>
          </w:p>
        </w:tc>
        <w:tc>
          <w:tcPr>
            <w:tcW w:w="1860" w:type="dxa"/>
            <w:tcMar>
              <w:top w:w="0" w:type="dxa"/>
              <w:bottom w:w="0" w:type="dxa"/>
            </w:tcMar>
            <w:vAlign w:val="center"/>
          </w:tcPr>
          <w:p w14:paraId="085A90E1" w14:textId="77777777" w:rsidR="00BA797F" w:rsidRDefault="00000000">
            <w:pPr>
              <w:keepNext/>
              <w:keepLines/>
              <w:spacing w:after="0" w:line="240" w:lineRule="auto"/>
              <w:jc w:val="right"/>
            </w:pPr>
            <w:r>
              <w:rPr>
                <w:sz w:val="18"/>
              </w:rPr>
              <w:t>0,00</w:t>
            </w:r>
          </w:p>
        </w:tc>
        <w:tc>
          <w:tcPr>
            <w:tcW w:w="1860" w:type="dxa"/>
            <w:tcMar>
              <w:top w:w="0" w:type="dxa"/>
              <w:bottom w:w="0" w:type="dxa"/>
            </w:tcMar>
            <w:vAlign w:val="center"/>
          </w:tcPr>
          <w:p w14:paraId="1574C735" w14:textId="77777777" w:rsidR="00BA797F" w:rsidRDefault="00000000">
            <w:pPr>
              <w:keepNext/>
              <w:keepLines/>
              <w:spacing w:after="0" w:line="240" w:lineRule="auto"/>
              <w:jc w:val="right"/>
            </w:pPr>
            <w:r>
              <w:rPr>
                <w:sz w:val="18"/>
              </w:rPr>
              <w:t>14.814,99</w:t>
            </w:r>
          </w:p>
        </w:tc>
        <w:tc>
          <w:tcPr>
            <w:tcW w:w="700" w:type="dxa"/>
            <w:tcMar>
              <w:top w:w="0" w:type="dxa"/>
              <w:bottom w:w="0" w:type="dxa"/>
            </w:tcMar>
            <w:vAlign w:val="center"/>
          </w:tcPr>
          <w:p w14:paraId="3C0AE9F6" w14:textId="77777777" w:rsidR="00BA797F" w:rsidRDefault="00000000">
            <w:pPr>
              <w:keepNext/>
              <w:keepLines/>
              <w:spacing w:after="0" w:line="240" w:lineRule="auto"/>
              <w:jc w:val="right"/>
            </w:pPr>
            <w:r>
              <w:rPr>
                <w:sz w:val="18"/>
              </w:rPr>
              <w:t>-</w:t>
            </w:r>
          </w:p>
        </w:tc>
      </w:tr>
    </w:tbl>
    <w:p w14:paraId="65BEFC1D" w14:textId="77777777" w:rsidR="00BA797F" w:rsidRDefault="00BA797F">
      <w:pPr>
        <w:spacing w:after="0"/>
      </w:pPr>
    </w:p>
    <w:p w14:paraId="6ADAE2A3" w14:textId="77777777" w:rsidR="00BA797F" w:rsidRDefault="00000000">
      <w:r>
        <w:t xml:space="preserve">Na kontu 451 Dodatna ulaganja na građevinskim objektima ostvareno je </w:t>
      </w:r>
      <w:r>
        <w:rPr>
          <w:b/>
        </w:rPr>
        <w:t xml:space="preserve">14.814,99 €. </w:t>
      </w:r>
      <w:r>
        <w:t xml:space="preserve">Na navedenoj stavci od početka godine nabavljeno je idejno rješenje za prenamjenu dijela prostora u Kneza Mislava 18, u rezidencijalni atelje. Obavljena su ispitivanja i istražni radovi te dopuna elaborata stanja građevinske konstrukcije Pogona Jedinstvo. Izrađen je glavni projekt adaptacije stambenog prostora u rezidencijalni atelje, dobava i montaža nadstrešnice na ulazu u </w:t>
      </w:r>
      <w:proofErr w:type="spellStart"/>
      <w:r>
        <w:t>zapozorje</w:t>
      </w:r>
      <w:proofErr w:type="spellEnd"/>
      <w:r>
        <w:t xml:space="preserve"> i dubinsko čišćenje bivšeg tvorničkog tanka za gorivo iza zgrade Pogona Jedinstvo. S obzirom da su obje nekretnine u vlasništvu Grada Zagreba troškovi vezani uz dodatna ulaganja na građevinskim objektima i opremi knjižena su na konta 452 i 453.</w:t>
      </w:r>
    </w:p>
    <w:p w14:paraId="6A357BF3" w14:textId="77777777" w:rsidR="00BA797F" w:rsidRDefault="00000000">
      <w:r>
        <w:t> </w:t>
      </w:r>
    </w:p>
    <w:p w14:paraId="20E1197B" w14:textId="77777777" w:rsidR="00BA797F" w:rsidRDefault="00BA797F"/>
    <w:p w14:paraId="769B555A" w14:textId="77777777" w:rsidR="00BA797F"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008B3F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265D73"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DBD314"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3D78FC"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5749C5"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5C58A"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67F0BB" w14:textId="77777777" w:rsidR="00BA797F" w:rsidRDefault="00000000">
            <w:pPr>
              <w:keepNext/>
              <w:keepLines/>
              <w:spacing w:after="0" w:line="240" w:lineRule="auto"/>
              <w:jc w:val="center"/>
            </w:pPr>
            <w:r>
              <w:rPr>
                <w:b/>
                <w:sz w:val="18"/>
              </w:rPr>
              <w:t>Indeks (%)</w:t>
            </w:r>
          </w:p>
        </w:tc>
      </w:tr>
      <w:tr w:rsidR="00BA797F" w14:paraId="7120B670" w14:textId="77777777">
        <w:tblPrEx>
          <w:tblCellMar>
            <w:top w:w="0" w:type="dxa"/>
            <w:bottom w:w="0" w:type="dxa"/>
          </w:tblCellMar>
        </w:tblPrEx>
        <w:trPr>
          <w:cantSplit/>
          <w:trHeight w:val="560"/>
        </w:trPr>
        <w:tc>
          <w:tcPr>
            <w:tcW w:w="700" w:type="dxa"/>
            <w:tcMar>
              <w:top w:w="0" w:type="dxa"/>
              <w:bottom w:w="0" w:type="dxa"/>
            </w:tcMar>
            <w:vAlign w:val="center"/>
          </w:tcPr>
          <w:p w14:paraId="7912DE2A" w14:textId="77777777" w:rsidR="00BA797F" w:rsidRDefault="00000000">
            <w:pPr>
              <w:keepNext/>
              <w:keepLines/>
              <w:spacing w:after="0" w:line="240" w:lineRule="auto"/>
            </w:pPr>
            <w:r>
              <w:rPr>
                <w:sz w:val="18"/>
              </w:rPr>
              <w:t>9221x, 9222x</w:t>
            </w:r>
          </w:p>
        </w:tc>
        <w:tc>
          <w:tcPr>
            <w:tcW w:w="3180" w:type="dxa"/>
            <w:tcMar>
              <w:top w:w="0" w:type="dxa"/>
              <w:bottom w:w="0" w:type="dxa"/>
            </w:tcMar>
            <w:vAlign w:val="center"/>
          </w:tcPr>
          <w:p w14:paraId="63E1E373" w14:textId="77777777" w:rsidR="00BA797F" w:rsidRDefault="00000000">
            <w:pPr>
              <w:keepNext/>
              <w:keepLines/>
              <w:spacing w:after="0" w:line="240" w:lineRule="auto"/>
            </w:pPr>
            <w:r>
              <w:rPr>
                <w:sz w:val="18"/>
              </w:rPr>
              <w:t>Manjak prihoda - preneseni (šifre 92221+92222-92211-92212)</w:t>
            </w:r>
          </w:p>
        </w:tc>
        <w:tc>
          <w:tcPr>
            <w:tcW w:w="700" w:type="dxa"/>
            <w:tcMar>
              <w:top w:w="0" w:type="dxa"/>
              <w:bottom w:w="0" w:type="dxa"/>
            </w:tcMar>
            <w:vAlign w:val="center"/>
          </w:tcPr>
          <w:p w14:paraId="6BDF9142" w14:textId="77777777" w:rsidR="00BA797F" w:rsidRDefault="00000000">
            <w:pPr>
              <w:keepNext/>
              <w:keepLines/>
              <w:spacing w:after="0" w:line="240" w:lineRule="auto"/>
            </w:pPr>
            <w:r>
              <w:rPr>
                <w:sz w:val="18"/>
              </w:rPr>
              <w:t>9221x,9222x MP</w:t>
            </w:r>
          </w:p>
        </w:tc>
        <w:tc>
          <w:tcPr>
            <w:tcW w:w="1860" w:type="dxa"/>
            <w:tcMar>
              <w:top w:w="0" w:type="dxa"/>
              <w:bottom w:w="0" w:type="dxa"/>
            </w:tcMar>
            <w:vAlign w:val="center"/>
          </w:tcPr>
          <w:p w14:paraId="7AD4930C" w14:textId="77777777" w:rsidR="00BA797F" w:rsidRDefault="00000000">
            <w:pPr>
              <w:keepNext/>
              <w:keepLines/>
              <w:spacing w:after="0" w:line="240" w:lineRule="auto"/>
              <w:jc w:val="right"/>
            </w:pPr>
            <w:r>
              <w:rPr>
                <w:sz w:val="18"/>
              </w:rPr>
              <w:t>0,00</w:t>
            </w:r>
          </w:p>
        </w:tc>
        <w:tc>
          <w:tcPr>
            <w:tcW w:w="1860" w:type="dxa"/>
            <w:tcMar>
              <w:top w:w="0" w:type="dxa"/>
              <w:bottom w:w="0" w:type="dxa"/>
            </w:tcMar>
            <w:vAlign w:val="center"/>
          </w:tcPr>
          <w:p w14:paraId="481A4026" w14:textId="77777777" w:rsidR="00BA797F" w:rsidRDefault="00000000">
            <w:pPr>
              <w:keepNext/>
              <w:keepLines/>
              <w:spacing w:after="0" w:line="240" w:lineRule="auto"/>
              <w:jc w:val="right"/>
            </w:pPr>
            <w:r>
              <w:rPr>
                <w:sz w:val="18"/>
              </w:rPr>
              <w:t>148.598,67</w:t>
            </w:r>
          </w:p>
        </w:tc>
        <w:tc>
          <w:tcPr>
            <w:tcW w:w="700" w:type="dxa"/>
            <w:tcMar>
              <w:top w:w="0" w:type="dxa"/>
              <w:bottom w:w="0" w:type="dxa"/>
            </w:tcMar>
            <w:vAlign w:val="center"/>
          </w:tcPr>
          <w:p w14:paraId="321BD755" w14:textId="77777777" w:rsidR="00BA797F" w:rsidRDefault="00000000">
            <w:pPr>
              <w:keepNext/>
              <w:keepLines/>
              <w:spacing w:after="0" w:line="240" w:lineRule="auto"/>
              <w:jc w:val="right"/>
            </w:pPr>
            <w:r>
              <w:rPr>
                <w:sz w:val="18"/>
              </w:rPr>
              <w:t>-</w:t>
            </w:r>
          </w:p>
        </w:tc>
      </w:tr>
    </w:tbl>
    <w:p w14:paraId="0F03C95F" w14:textId="77777777" w:rsidR="00BA797F" w:rsidRDefault="00BA797F">
      <w:pPr>
        <w:spacing w:after="0"/>
      </w:pPr>
    </w:p>
    <w:p w14:paraId="1F50FD88" w14:textId="77777777" w:rsidR="00BA797F" w:rsidRDefault="00000000">
      <w:r>
        <w:t xml:space="preserve">Preneseni manjak iz početnog stanja 01.01.2025.  od </w:t>
      </w:r>
      <w:r>
        <w:rPr>
          <w:b/>
        </w:rPr>
        <w:t xml:space="preserve">130.076,16€ </w:t>
      </w:r>
      <w:r>
        <w:t xml:space="preserve">uvećan je za korekciju tijekom 2025 i to za sljedeće dvije korekcije;  na ime povrata u  nadležni proračun Grada iznosa od </w:t>
      </w:r>
      <w:r>
        <w:rPr>
          <w:b/>
        </w:rPr>
        <w:t xml:space="preserve">15.575,31€. </w:t>
      </w:r>
      <w:r>
        <w:t xml:space="preserve">i korekcije u iznosu </w:t>
      </w:r>
      <w:r>
        <w:rPr>
          <w:b/>
        </w:rPr>
        <w:t xml:space="preserve">2.947,20€ </w:t>
      </w:r>
      <w:r>
        <w:t xml:space="preserve">vezano uz </w:t>
      </w:r>
      <w:r>
        <w:rPr>
          <w:b/>
        </w:rPr>
        <w:t>projekt Erasmus +.</w:t>
      </w:r>
    </w:p>
    <w:p w14:paraId="011B10D8" w14:textId="560663EF" w:rsidR="00BA797F" w:rsidRDefault="00000000">
      <w:r>
        <w:t>Korekcija rezultata  koja se odnosi na ispravak iz prethodnih godina u iznosu od</w:t>
      </w:r>
      <w:r w:rsidR="006E3943">
        <w:t xml:space="preserve"> </w:t>
      </w:r>
      <w:r>
        <w:rPr>
          <w:b/>
        </w:rPr>
        <w:t xml:space="preserve">15.575,31 €  </w:t>
      </w:r>
      <w:r>
        <w:t xml:space="preserve">je ispravak rezultata koji je potrebno vratiti u nadležni proračun Grada Zagreba. Pogon – Zagrebački centar za nezavisnu kulturu i mlade je u periodu od 2011. do 2018., u nekoliko faza provodio projekt </w:t>
      </w:r>
      <w:proofErr w:type="spellStart"/>
      <w:r>
        <w:t>Corners</w:t>
      </w:r>
      <w:proofErr w:type="spellEnd"/>
      <w:r>
        <w:t xml:space="preserve"> kao jedan od 11 partnera, zadnja faza trajala je od 2014. – 2018.godine.</w:t>
      </w:r>
      <w:r>
        <w:br/>
        <w:t>Projekt je bio sufinanciran sredstvima Europske komisije kroz program Kreativna Europa, a aktivnosti Pogona podupirali su Ministarstvo kulture i medija, Grad Zagreb, Turistička zajednica Grada Zagreba te Ministarstvo socijalne politike i mladih. U realizaciji tako velikih projekata potreban je određeni postotak sredstava koje sufinancira i sam partner. Tijekom godina Pogon su u projektu, kao što smo i naveli, podupirala tijela državnog, ali i</w:t>
      </w:r>
      <w:r>
        <w:br/>
        <w:t>nadležnog (lokalnog ) proračuna. Naročito veliki izazov predstavlja činjenica da se do kraja projekta sva sredstva moraju utrošiti a zadnji iznos uplate od strane Europske komisije dolazi tek u sljedećoj proračunskoj godini, odnosno po odobrenju samog izvještaja. </w:t>
      </w:r>
      <w:r>
        <w:br/>
        <w:t>Višak sredstava koji je nastao na projektu nakon uplate zadnje rate je iznos koji je Pogon u projektu prikazao kao vlastito sufinanciranje i to u djelu redovnog rada djelatnika Pogona ali također i u postocima udjela u fiksnim troškovima Pogona (struja, voda, grijanje) što je tijekom godina već bilo u potpunosti pokriveno iz Gradskog proračuna, stoga je i navedeni iznos potrebno vratiti u nadležni proračun, odnosno na račun Grada Zagreba.</w:t>
      </w:r>
    </w:p>
    <w:p w14:paraId="0661D80F" w14:textId="77777777" w:rsidR="00BA797F" w:rsidRDefault="00000000">
      <w:r>
        <w:t xml:space="preserve">Korekcija rezultata za iznos </w:t>
      </w:r>
      <w:r>
        <w:rPr>
          <w:b/>
        </w:rPr>
        <w:t>2.947,20€</w:t>
      </w:r>
      <w:r>
        <w:t xml:space="preserve"> vezana je  uz projekt Erasmus +. Naime u uputama iz okružnice Ministarstva financija za sastavljanje GFI-a bili smo dužni evidentirati uplatu AMPEU-a prema dodatnim uputama za računovodstveno evidentiranje sredstava Europske unije, u poglavlju 3.3. Sredstva iz programa Erasmus+ i Europske snage solidarnosti  financiranih iz Erasmus+ programa kod korisnika projekata i Agencije za mobilnost i programe EU.  U ovoj proračunskoj godini iznimno je dana mogućnost da se izvrši korekcija prenesenog rezultata i evidentiraju vanbilančni zapisi  ukoliko početak i završetak projekta nisu u istoj proračunskoj godini, temeljem nastalih rashoda projekta u tromjesečju, na kraju svakog tromjesečja evidentiraju potraživanja i obračunate prihode za pomoći temeljem prijenosa EU sredstava na osnovnim računima 16381 ili 16382, odnosno 96381 ili 96382. Nadalje,  kao korisnici projekata mi smo u svojim poslovnim knjigama na kraju 2024. utvrdili višak prihoda nad rashodima u skladu s prethodno važećom metodologijom priznavanja prihoda i rashoda EU tijekova, odnosno primljeni predujam priznali smo  u prihod u godini </w:t>
      </w:r>
      <w:r>
        <w:lastRenderedPageBreak/>
        <w:t>uplate (u 2024.), a rashodi su nastali tek u 2025. Taj  višak prihoda nad rashodima prenijeli sumo kroz rezultat poslovanja u 2025. u kojoj je došlo do promjene metodologije priznavanja EU prihoda i rashoda.</w:t>
      </w:r>
      <w:r>
        <w:br/>
        <w:t>S ciljem što realnijeg iskazivanja rezultata poslovanja kroz godine, korigirali smo  utvrđeni rezultat za 2024. koji je prenesen u 2025. na način da smo višak iskazali kao obvezu za primljeni predujam od AMPEU-a za dio koji nam je agencija dužna uplatiti u 2026. godini a u 2025. godini priznali prihod i učinjene troškove.</w:t>
      </w:r>
    </w:p>
    <w:p w14:paraId="72AA63A8" w14:textId="77777777" w:rsidR="00BA797F" w:rsidRDefault="00BA797F"/>
    <w:p w14:paraId="0DBE0FD0" w14:textId="77777777" w:rsidR="00BA797F"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40653A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7168D1"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CEF3FD"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73177D"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58E36F"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1A0F0A"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BFB3E5" w14:textId="77777777" w:rsidR="00BA797F" w:rsidRDefault="00000000">
            <w:pPr>
              <w:keepNext/>
              <w:keepLines/>
              <w:spacing w:after="0" w:line="240" w:lineRule="auto"/>
              <w:jc w:val="center"/>
            </w:pPr>
            <w:r>
              <w:rPr>
                <w:b/>
                <w:sz w:val="18"/>
              </w:rPr>
              <w:t>Indeks (%)</w:t>
            </w:r>
          </w:p>
        </w:tc>
      </w:tr>
      <w:tr w:rsidR="00BA797F" w14:paraId="083B06D6" w14:textId="77777777">
        <w:tblPrEx>
          <w:tblCellMar>
            <w:top w:w="0" w:type="dxa"/>
            <w:bottom w:w="0" w:type="dxa"/>
          </w:tblCellMar>
        </w:tblPrEx>
        <w:trPr>
          <w:cantSplit/>
          <w:trHeight w:val="560"/>
        </w:trPr>
        <w:tc>
          <w:tcPr>
            <w:tcW w:w="700" w:type="dxa"/>
            <w:tcMar>
              <w:top w:w="0" w:type="dxa"/>
              <w:bottom w:w="0" w:type="dxa"/>
            </w:tcMar>
            <w:vAlign w:val="center"/>
          </w:tcPr>
          <w:p w14:paraId="0670C0BE" w14:textId="77777777" w:rsidR="00BA797F" w:rsidRDefault="00000000">
            <w:pPr>
              <w:keepNext/>
              <w:keepLines/>
              <w:spacing w:after="0" w:line="240" w:lineRule="auto"/>
            </w:pPr>
            <w:r>
              <w:rPr>
                <w:sz w:val="18"/>
              </w:rPr>
              <w:t>96, 97</w:t>
            </w:r>
          </w:p>
        </w:tc>
        <w:tc>
          <w:tcPr>
            <w:tcW w:w="3180" w:type="dxa"/>
            <w:tcMar>
              <w:top w:w="0" w:type="dxa"/>
              <w:bottom w:w="0" w:type="dxa"/>
            </w:tcMar>
            <w:vAlign w:val="center"/>
          </w:tcPr>
          <w:p w14:paraId="2E9EFF75" w14:textId="77777777" w:rsidR="00BA797F" w:rsidRDefault="00000000">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24BAFB74" w14:textId="77777777" w:rsidR="00BA797F" w:rsidRDefault="00000000">
            <w:pPr>
              <w:keepNext/>
              <w:keepLines/>
              <w:spacing w:after="0" w:line="240" w:lineRule="auto"/>
            </w:pPr>
            <w:r>
              <w:rPr>
                <w:sz w:val="18"/>
              </w:rPr>
              <w:t>96,97</w:t>
            </w:r>
          </w:p>
        </w:tc>
        <w:tc>
          <w:tcPr>
            <w:tcW w:w="1860" w:type="dxa"/>
            <w:tcMar>
              <w:top w:w="0" w:type="dxa"/>
              <w:bottom w:w="0" w:type="dxa"/>
            </w:tcMar>
            <w:vAlign w:val="center"/>
          </w:tcPr>
          <w:p w14:paraId="344D63B6" w14:textId="77777777" w:rsidR="00BA797F" w:rsidRDefault="00000000">
            <w:pPr>
              <w:keepNext/>
              <w:keepLines/>
              <w:spacing w:after="0" w:line="240" w:lineRule="auto"/>
              <w:jc w:val="right"/>
            </w:pPr>
            <w:r>
              <w:rPr>
                <w:sz w:val="18"/>
              </w:rPr>
              <w:t>4.438,89</w:t>
            </w:r>
          </w:p>
        </w:tc>
        <w:tc>
          <w:tcPr>
            <w:tcW w:w="1860" w:type="dxa"/>
            <w:tcMar>
              <w:top w:w="0" w:type="dxa"/>
              <w:bottom w:w="0" w:type="dxa"/>
            </w:tcMar>
            <w:vAlign w:val="center"/>
          </w:tcPr>
          <w:p w14:paraId="17F71D67" w14:textId="77777777" w:rsidR="00BA797F" w:rsidRDefault="00000000">
            <w:pPr>
              <w:keepNext/>
              <w:keepLines/>
              <w:spacing w:after="0" w:line="240" w:lineRule="auto"/>
              <w:jc w:val="right"/>
            </w:pPr>
            <w:r>
              <w:rPr>
                <w:sz w:val="18"/>
              </w:rPr>
              <w:t>2.501,48</w:t>
            </w:r>
          </w:p>
        </w:tc>
        <w:tc>
          <w:tcPr>
            <w:tcW w:w="700" w:type="dxa"/>
            <w:tcMar>
              <w:top w:w="0" w:type="dxa"/>
              <w:bottom w:w="0" w:type="dxa"/>
            </w:tcMar>
            <w:vAlign w:val="center"/>
          </w:tcPr>
          <w:p w14:paraId="7E2FBB8D" w14:textId="77777777" w:rsidR="00BA797F" w:rsidRDefault="00000000">
            <w:pPr>
              <w:keepNext/>
              <w:keepLines/>
              <w:spacing w:after="0" w:line="240" w:lineRule="auto"/>
              <w:jc w:val="right"/>
            </w:pPr>
            <w:r>
              <w:rPr>
                <w:sz w:val="18"/>
              </w:rPr>
              <w:t>56,4</w:t>
            </w:r>
          </w:p>
        </w:tc>
      </w:tr>
    </w:tbl>
    <w:p w14:paraId="5B8207E6" w14:textId="77777777" w:rsidR="00BA797F" w:rsidRDefault="00BA797F">
      <w:pPr>
        <w:spacing w:after="0"/>
      </w:pPr>
    </w:p>
    <w:p w14:paraId="2675D953" w14:textId="77777777" w:rsidR="00BA797F" w:rsidRDefault="00000000">
      <w:r>
        <w:t xml:space="preserve">U 2025. godini ostalo je nenaplaćenih prihoda u iznosu od  </w:t>
      </w:r>
      <w:r>
        <w:rPr>
          <w:b/>
        </w:rPr>
        <w:t xml:space="preserve">2.501,48 €.  </w:t>
      </w:r>
      <w:r>
        <w:t xml:space="preserve">Nenaplaćena je refundacija režijskih troškova u iznosu </w:t>
      </w:r>
      <w:r>
        <w:rPr>
          <w:b/>
        </w:rPr>
        <w:t xml:space="preserve">1.727,12 €, </w:t>
      </w:r>
      <w:r>
        <w:t xml:space="preserve">od čega je 768,12 € dospjelo, prihoda od usluga </w:t>
      </w:r>
      <w:r>
        <w:rPr>
          <w:b/>
        </w:rPr>
        <w:t>37,56 €</w:t>
      </w:r>
      <w:r>
        <w:t xml:space="preserve"> - nedospjelo i </w:t>
      </w:r>
      <w:r>
        <w:rPr>
          <w:b/>
        </w:rPr>
        <w:t xml:space="preserve">736,80 € </w:t>
      </w:r>
      <w:r>
        <w:t>potraživanja od AMPEU temeljem Ugovora - ostatka po predanom i odobrenom izvještaju - nedospjelo.</w:t>
      </w:r>
    </w:p>
    <w:p w14:paraId="121F05AB" w14:textId="77777777" w:rsidR="00BA797F" w:rsidRDefault="00BA797F"/>
    <w:p w14:paraId="4B2933A8" w14:textId="77777777" w:rsidR="00BA797F"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736D0A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AF9943"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976207"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987358"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8DD7C6" w14:textId="77777777" w:rsidR="00BA797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9BBAD8" w14:textId="77777777" w:rsidR="00BA797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5BCA50" w14:textId="77777777" w:rsidR="00BA797F" w:rsidRDefault="00000000">
            <w:pPr>
              <w:keepNext/>
              <w:keepLines/>
              <w:spacing w:after="0" w:line="240" w:lineRule="auto"/>
              <w:jc w:val="center"/>
            </w:pPr>
            <w:r>
              <w:rPr>
                <w:b/>
                <w:sz w:val="18"/>
              </w:rPr>
              <w:t>Indeks (%)</w:t>
            </w:r>
          </w:p>
        </w:tc>
      </w:tr>
      <w:tr w:rsidR="00BA797F" w14:paraId="2C54EB04" w14:textId="77777777">
        <w:tblPrEx>
          <w:tblCellMar>
            <w:top w:w="0" w:type="dxa"/>
            <w:bottom w:w="0" w:type="dxa"/>
          </w:tblCellMar>
        </w:tblPrEx>
        <w:trPr>
          <w:cantSplit/>
          <w:trHeight w:val="560"/>
        </w:trPr>
        <w:tc>
          <w:tcPr>
            <w:tcW w:w="700" w:type="dxa"/>
            <w:tcMar>
              <w:top w:w="0" w:type="dxa"/>
              <w:bottom w:w="0" w:type="dxa"/>
            </w:tcMar>
            <w:vAlign w:val="center"/>
          </w:tcPr>
          <w:p w14:paraId="3933B7E7" w14:textId="77777777" w:rsidR="00BA797F" w:rsidRDefault="00000000">
            <w:pPr>
              <w:keepNext/>
              <w:keepLines/>
              <w:spacing w:after="0" w:line="240" w:lineRule="auto"/>
            </w:pPr>
            <w:r>
              <w:rPr>
                <w:sz w:val="18"/>
              </w:rPr>
              <w:t>9222-9221</w:t>
            </w:r>
          </w:p>
        </w:tc>
        <w:tc>
          <w:tcPr>
            <w:tcW w:w="3180" w:type="dxa"/>
            <w:tcMar>
              <w:top w:w="0" w:type="dxa"/>
              <w:bottom w:w="0" w:type="dxa"/>
            </w:tcMar>
            <w:vAlign w:val="center"/>
          </w:tcPr>
          <w:p w14:paraId="1022E739" w14:textId="77777777" w:rsidR="00BA797F" w:rsidRDefault="00000000">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14:paraId="260D2211" w14:textId="77777777" w:rsidR="00BA797F" w:rsidRDefault="00000000">
            <w:pPr>
              <w:keepNext/>
              <w:keepLines/>
              <w:spacing w:after="0" w:line="240" w:lineRule="auto"/>
            </w:pPr>
            <w:r>
              <w:rPr>
                <w:sz w:val="18"/>
              </w:rPr>
              <w:t>9222-9221</w:t>
            </w:r>
          </w:p>
        </w:tc>
        <w:tc>
          <w:tcPr>
            <w:tcW w:w="1860" w:type="dxa"/>
            <w:tcMar>
              <w:top w:w="0" w:type="dxa"/>
              <w:bottom w:w="0" w:type="dxa"/>
            </w:tcMar>
            <w:vAlign w:val="center"/>
          </w:tcPr>
          <w:p w14:paraId="60E0AE08" w14:textId="77777777" w:rsidR="00BA797F" w:rsidRDefault="00000000">
            <w:pPr>
              <w:keepNext/>
              <w:keepLines/>
              <w:spacing w:after="0" w:line="240" w:lineRule="auto"/>
              <w:jc w:val="right"/>
            </w:pPr>
            <w:r>
              <w:rPr>
                <w:sz w:val="18"/>
              </w:rPr>
              <w:t>0,00</w:t>
            </w:r>
          </w:p>
        </w:tc>
        <w:tc>
          <w:tcPr>
            <w:tcW w:w="1860" w:type="dxa"/>
            <w:tcMar>
              <w:top w:w="0" w:type="dxa"/>
              <w:bottom w:w="0" w:type="dxa"/>
            </w:tcMar>
            <w:vAlign w:val="center"/>
          </w:tcPr>
          <w:p w14:paraId="26814A2A" w14:textId="77777777" w:rsidR="00BA797F" w:rsidRDefault="00000000">
            <w:pPr>
              <w:keepNext/>
              <w:keepLines/>
              <w:spacing w:after="0" w:line="240" w:lineRule="auto"/>
              <w:jc w:val="right"/>
            </w:pPr>
            <w:r>
              <w:rPr>
                <w:sz w:val="18"/>
              </w:rPr>
              <w:t>148.598,67</w:t>
            </w:r>
          </w:p>
        </w:tc>
        <w:tc>
          <w:tcPr>
            <w:tcW w:w="700" w:type="dxa"/>
            <w:tcMar>
              <w:top w:w="0" w:type="dxa"/>
              <w:bottom w:w="0" w:type="dxa"/>
            </w:tcMar>
            <w:vAlign w:val="center"/>
          </w:tcPr>
          <w:p w14:paraId="4906FE41" w14:textId="77777777" w:rsidR="00BA797F" w:rsidRDefault="00000000">
            <w:pPr>
              <w:keepNext/>
              <w:keepLines/>
              <w:spacing w:after="0" w:line="240" w:lineRule="auto"/>
              <w:jc w:val="right"/>
            </w:pPr>
            <w:r>
              <w:rPr>
                <w:sz w:val="18"/>
              </w:rPr>
              <w:t>-</w:t>
            </w:r>
          </w:p>
        </w:tc>
      </w:tr>
    </w:tbl>
    <w:p w14:paraId="50C8C567" w14:textId="77777777" w:rsidR="00BA797F" w:rsidRDefault="00BA797F">
      <w:pPr>
        <w:spacing w:after="0"/>
      </w:pPr>
    </w:p>
    <w:p w14:paraId="4149EF2A" w14:textId="4E34A509" w:rsidR="00BA797F" w:rsidRDefault="00000000">
      <w:r>
        <w:t>Preneseni manjak iz početnog stanja 01.01.2025.  od</w:t>
      </w:r>
      <w:r w:rsidR="006E3943">
        <w:t xml:space="preserve"> </w:t>
      </w:r>
      <w:r>
        <w:rPr>
          <w:b/>
        </w:rPr>
        <w:t>130.076,16</w:t>
      </w:r>
      <w:r>
        <w:t xml:space="preserve">€ uvećan je za korekciju </w:t>
      </w:r>
      <w:r>
        <w:rPr>
          <w:b/>
        </w:rPr>
        <w:t>18.522,51€</w:t>
      </w:r>
      <w:r>
        <w:t xml:space="preserve"> tijekom 2025 i to za sljedeća dva iznosa;  na ime povrata u  nadležni proračun Grada iznosa od</w:t>
      </w:r>
      <w:r>
        <w:rPr>
          <w:b/>
        </w:rPr>
        <w:t>15.575,31€</w:t>
      </w:r>
      <w:r>
        <w:t xml:space="preserve">. i korekcije u iznosu </w:t>
      </w:r>
      <w:r>
        <w:rPr>
          <w:b/>
        </w:rPr>
        <w:t>2.947,20€</w:t>
      </w:r>
      <w:r>
        <w:t xml:space="preserve"> vezano uz projekt Erasmus +.</w:t>
      </w:r>
    </w:p>
    <w:p w14:paraId="4C68E391" w14:textId="77777777" w:rsidR="00BA797F" w:rsidRDefault="00000000">
      <w:r>
        <w:t xml:space="preserve">Korekcija rezultata  koja se odnosi na ispravak iz prethodnih godina u iznosu od </w:t>
      </w:r>
      <w:r>
        <w:rPr>
          <w:b/>
        </w:rPr>
        <w:t>15.575,31 €</w:t>
      </w:r>
      <w:r>
        <w:t xml:space="preserve">  je ispravak rezultata koji je potrebno vratiti u nadležni proračun Grada Zagreba. Pogon – Zagrebački centar za nezavisnu kulturu i mlade je u periodu od 2011. do 2018., u nekoliko faza provodio projekt </w:t>
      </w:r>
      <w:proofErr w:type="spellStart"/>
      <w:r>
        <w:t>Corners</w:t>
      </w:r>
      <w:proofErr w:type="spellEnd"/>
      <w:r>
        <w:t xml:space="preserve"> kao jedan od 11 partnera, zadnja faza trajala je od 2014. – 2018.godine.</w:t>
      </w:r>
      <w:r>
        <w:br/>
        <w:t>Projekt je bio sufinanciran sredstvima Europske komisije kroz program Kreativna Europa, a aktivnosti Pogona podupirali su Ministarstvo kulture i medija, Grad Zagreb, Turistička zajednica Grada Zagreba te Ministarstvo socijalne politike i mladih. U realizaciji tako velikih projekata potreban je određeni postotak sredstava koje sufinancira i sam partner. Tijekom godina Pogon su u projektu, kao što smo i naveli, podupirala tijela državnog, ali i</w:t>
      </w:r>
      <w:r>
        <w:br/>
        <w:t xml:space="preserve">nadležnog (lokalnog ) proračuna. Naročito veliki izazov predstavlja činjenica da se do kraja projekta sva sredstva moraju utrošiti a zadnji iznos uplate od strane Europske komisije dolazi </w:t>
      </w:r>
      <w:r>
        <w:lastRenderedPageBreak/>
        <w:t>tek u sljedećoj proračunskoj godini, odnosno po odobrenju samog izvještaja. </w:t>
      </w:r>
      <w:r>
        <w:br/>
        <w:t>Višak sredstava koji je nastao na projektu nakon uplate zadnje rate je iznos koji je Pogon u projektu prikazao kao vlastito sufinanciranje i to u djelu redovnog rada djelatnika Pogon ali također i u postocima udjela u fiksnim troškovima Pogona (struja, voda, grijanje) što je tijekom godina već bilo u potpunosti pokriveno iz Gradskog proračuna, stoga je i navedeni iznos potrebno vratiti u nadležni proračun, odnosno na račun Grada Zagreba.</w:t>
      </w:r>
    </w:p>
    <w:p w14:paraId="6EEF0C30" w14:textId="77777777" w:rsidR="00BA797F" w:rsidRDefault="00000000">
      <w:r>
        <w:t xml:space="preserve">Korekcija rezultata za iznos </w:t>
      </w:r>
      <w:r>
        <w:rPr>
          <w:b/>
        </w:rPr>
        <w:t>2.947,20€</w:t>
      </w:r>
      <w:r>
        <w:t xml:space="preserve"> vezana je  uz projekt Erasmus +.Naime u uputama iz okružnice Ministarstva financija za sastavljanje GFI-a bili smo dužni evidentirati uplatu AMPEU-a prema dodatnim uputama za računovodstveno evidentiranje sredstava Europske unije, u poglavlju 3.3. Sredstva iz programa Erasmus+ i Europske snage solidarnosti  financiranih iz Erasmus+ programa kod korisnika projekata i Agencije za mobilnost i programe EU.  U ovoj proračunskoj godini iznimno je dana mogućnost da se izvrši korekcija prenesenog rezultata i evidentiraju vanbilančni zapisi  ukoliko početak i završetak projekta nisu u istoj proračunskoj godini, temeljem nastalih rashoda projekta u tromjesečju, na kraju svakog tromjesečja evidentiraju potraživanja i obračunate prihode za pomoći temeljem prijenosa EU sredstava na osnovnim računima 16381 ili 16382, odnosno 96381 ili 96382. Nadalje,  kao korisnici projekata mi smo u svojim poslovnim knjigama na kraju 2024. utvrdili višak prihoda nad rashodima u skladu s prethodno važećom metodologijom priznavanja prihoda i rashoda EU tijekova, odnosno primljeni predujam priznali smo  u </w:t>
      </w:r>
      <w:r>
        <w:rPr>
          <w:b/>
        </w:rPr>
        <w:t>prihod u godini uplate (u 2024.)</w:t>
      </w:r>
      <w:r>
        <w:t>, a rashodi su nastali tek u 2025. Taj  višak prihoda nad rashodima prenijeli sumo kroz rezultat poslovanja u 2025. u kojoj je došlo do promjene metodologije priznavanja EU prihoda i rashoda.</w:t>
      </w:r>
      <w:r>
        <w:br/>
        <w:t>S ciljem što realnijeg iskazivanja rezultata poslovanja kroz godine, korigirali smo  utvrđeni rezultat za 2024. koji je prenesen u 2025. na način da smo višak iskazali kao obvezu za primljeni predujam od AMPE-</w:t>
      </w:r>
      <w:proofErr w:type="spellStart"/>
      <w:r>
        <w:t>ua</w:t>
      </w:r>
      <w:proofErr w:type="spellEnd"/>
      <w:r>
        <w:t xml:space="preserve"> za dio koji nam je agencija dužna uplatiti u 2026. godini a u 2025. godini priznali prihod i učinjene troškove.</w:t>
      </w:r>
    </w:p>
    <w:p w14:paraId="63B37776" w14:textId="77777777" w:rsidR="00BA797F" w:rsidRDefault="00BA797F"/>
    <w:p w14:paraId="76FAC49A" w14:textId="77777777" w:rsidR="00BA797F" w:rsidRDefault="00000000">
      <w:pPr>
        <w:keepNext/>
        <w:spacing w:line="240" w:lineRule="auto"/>
        <w:jc w:val="center"/>
      </w:pPr>
      <w:r>
        <w:rPr>
          <w:b/>
          <w:sz w:val="28"/>
        </w:rPr>
        <w:t>Bilanca</w:t>
      </w:r>
    </w:p>
    <w:p w14:paraId="0D5546E1" w14:textId="77777777" w:rsidR="00BA797F"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6651D7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8CCDD4"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C0F850"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02D4AE"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A5D2DB" w14:textId="77777777" w:rsidR="00BA797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96E583" w14:textId="77777777" w:rsidR="00BA797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EFB724" w14:textId="77777777" w:rsidR="00BA797F" w:rsidRDefault="00000000">
            <w:pPr>
              <w:keepNext/>
              <w:keepLines/>
              <w:spacing w:after="0" w:line="240" w:lineRule="auto"/>
              <w:jc w:val="center"/>
            </w:pPr>
            <w:r>
              <w:rPr>
                <w:b/>
                <w:sz w:val="18"/>
              </w:rPr>
              <w:t>Indeks (%)</w:t>
            </w:r>
          </w:p>
        </w:tc>
      </w:tr>
      <w:tr w:rsidR="00BA797F" w14:paraId="647A22D9" w14:textId="77777777">
        <w:tblPrEx>
          <w:tblCellMar>
            <w:top w:w="0" w:type="dxa"/>
            <w:bottom w:w="0" w:type="dxa"/>
          </w:tblCellMar>
        </w:tblPrEx>
        <w:trPr>
          <w:cantSplit/>
          <w:trHeight w:val="560"/>
        </w:trPr>
        <w:tc>
          <w:tcPr>
            <w:tcW w:w="700" w:type="dxa"/>
            <w:tcMar>
              <w:top w:w="0" w:type="dxa"/>
              <w:bottom w:w="0" w:type="dxa"/>
            </w:tcMar>
            <w:vAlign w:val="center"/>
          </w:tcPr>
          <w:p w14:paraId="6CB74BAE" w14:textId="77777777" w:rsidR="00BA797F" w:rsidRDefault="00000000">
            <w:pPr>
              <w:keepNext/>
              <w:keepLines/>
              <w:spacing w:after="0" w:line="240" w:lineRule="auto"/>
            </w:pPr>
            <w:r>
              <w:rPr>
                <w:sz w:val="18"/>
              </w:rPr>
              <w:t>0</w:t>
            </w:r>
          </w:p>
        </w:tc>
        <w:tc>
          <w:tcPr>
            <w:tcW w:w="3180" w:type="dxa"/>
            <w:tcMar>
              <w:top w:w="0" w:type="dxa"/>
              <w:bottom w:w="0" w:type="dxa"/>
            </w:tcMar>
            <w:vAlign w:val="center"/>
          </w:tcPr>
          <w:p w14:paraId="4EDF369D" w14:textId="77777777" w:rsidR="00BA797F"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643F0E28" w14:textId="77777777" w:rsidR="00BA797F" w:rsidRDefault="00000000">
            <w:pPr>
              <w:keepNext/>
              <w:keepLines/>
              <w:spacing w:after="0" w:line="240" w:lineRule="auto"/>
            </w:pPr>
            <w:r>
              <w:rPr>
                <w:sz w:val="18"/>
              </w:rPr>
              <w:t>B002</w:t>
            </w:r>
          </w:p>
        </w:tc>
        <w:tc>
          <w:tcPr>
            <w:tcW w:w="1860" w:type="dxa"/>
            <w:tcMar>
              <w:top w:w="0" w:type="dxa"/>
              <w:bottom w:w="0" w:type="dxa"/>
            </w:tcMar>
            <w:vAlign w:val="center"/>
          </w:tcPr>
          <w:p w14:paraId="620F0EAA" w14:textId="77777777" w:rsidR="00BA797F" w:rsidRDefault="00000000">
            <w:pPr>
              <w:keepNext/>
              <w:keepLines/>
              <w:spacing w:after="0" w:line="240" w:lineRule="auto"/>
              <w:jc w:val="right"/>
            </w:pPr>
            <w:r>
              <w:rPr>
                <w:sz w:val="18"/>
              </w:rPr>
              <w:t>180.826,28</w:t>
            </w:r>
          </w:p>
        </w:tc>
        <w:tc>
          <w:tcPr>
            <w:tcW w:w="1860" w:type="dxa"/>
            <w:tcMar>
              <w:top w:w="0" w:type="dxa"/>
              <w:bottom w:w="0" w:type="dxa"/>
            </w:tcMar>
            <w:vAlign w:val="center"/>
          </w:tcPr>
          <w:p w14:paraId="76B26C71" w14:textId="77777777" w:rsidR="00BA797F" w:rsidRDefault="00000000">
            <w:pPr>
              <w:keepNext/>
              <w:keepLines/>
              <w:spacing w:after="0" w:line="240" w:lineRule="auto"/>
              <w:jc w:val="right"/>
            </w:pPr>
            <w:r>
              <w:rPr>
                <w:sz w:val="18"/>
              </w:rPr>
              <w:t>245.906,82</w:t>
            </w:r>
          </w:p>
        </w:tc>
        <w:tc>
          <w:tcPr>
            <w:tcW w:w="700" w:type="dxa"/>
            <w:tcMar>
              <w:top w:w="0" w:type="dxa"/>
              <w:bottom w:w="0" w:type="dxa"/>
            </w:tcMar>
            <w:vAlign w:val="center"/>
          </w:tcPr>
          <w:p w14:paraId="35F71F57" w14:textId="77777777" w:rsidR="00BA797F" w:rsidRDefault="00000000">
            <w:pPr>
              <w:keepNext/>
              <w:keepLines/>
              <w:spacing w:after="0" w:line="240" w:lineRule="auto"/>
              <w:jc w:val="right"/>
            </w:pPr>
            <w:r>
              <w:rPr>
                <w:sz w:val="18"/>
              </w:rPr>
              <w:t>136,0</w:t>
            </w:r>
          </w:p>
        </w:tc>
      </w:tr>
    </w:tbl>
    <w:p w14:paraId="3C97BB4B" w14:textId="77777777" w:rsidR="00BA797F" w:rsidRDefault="00BA797F">
      <w:pPr>
        <w:spacing w:after="0"/>
      </w:pPr>
    </w:p>
    <w:p w14:paraId="23F90BA2" w14:textId="77777777" w:rsidR="00BA797F" w:rsidRDefault="00000000">
      <w:r>
        <w:rPr>
          <w:b/>
        </w:rPr>
        <w:t>Bilješka uz šifru B002 -  Nematerijalna imovina</w:t>
      </w:r>
    </w:p>
    <w:p w14:paraId="24400219" w14:textId="77777777" w:rsidR="00BA797F" w:rsidRDefault="00000000">
      <w:r>
        <w:t>Nefinancijska imovina je povećana po stopi od 36,0 % zbog novonabavljene opreme.</w:t>
      </w:r>
    </w:p>
    <w:p w14:paraId="469D2E0E" w14:textId="77777777" w:rsidR="00BA797F" w:rsidRDefault="00000000">
      <w:r>
        <w:t> </w:t>
      </w:r>
    </w:p>
    <w:p w14:paraId="16FCB90A" w14:textId="77777777" w:rsidR="00BA797F" w:rsidRDefault="00BA797F"/>
    <w:p w14:paraId="785361F6" w14:textId="77777777" w:rsidR="00BA797F"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74E2F8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E21673"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840BD3"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C67385"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4A954C" w14:textId="77777777" w:rsidR="00BA797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4E7899" w14:textId="77777777" w:rsidR="00BA797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756651" w14:textId="77777777" w:rsidR="00BA797F" w:rsidRDefault="00000000">
            <w:pPr>
              <w:keepNext/>
              <w:keepLines/>
              <w:spacing w:after="0" w:line="240" w:lineRule="auto"/>
              <w:jc w:val="center"/>
            </w:pPr>
            <w:r>
              <w:rPr>
                <w:b/>
                <w:sz w:val="18"/>
              </w:rPr>
              <w:t>Indeks (%)</w:t>
            </w:r>
          </w:p>
        </w:tc>
      </w:tr>
      <w:tr w:rsidR="00BA797F" w14:paraId="74B3BFA6" w14:textId="77777777">
        <w:tblPrEx>
          <w:tblCellMar>
            <w:top w:w="0" w:type="dxa"/>
            <w:bottom w:w="0" w:type="dxa"/>
          </w:tblCellMar>
        </w:tblPrEx>
        <w:trPr>
          <w:cantSplit/>
          <w:trHeight w:val="560"/>
        </w:trPr>
        <w:tc>
          <w:tcPr>
            <w:tcW w:w="700" w:type="dxa"/>
            <w:tcMar>
              <w:top w:w="0" w:type="dxa"/>
              <w:bottom w:w="0" w:type="dxa"/>
            </w:tcMar>
            <w:vAlign w:val="center"/>
          </w:tcPr>
          <w:p w14:paraId="4251429D" w14:textId="77777777" w:rsidR="00BA797F" w:rsidRDefault="00000000">
            <w:pPr>
              <w:keepNext/>
              <w:keepLines/>
              <w:spacing w:after="0" w:line="240" w:lineRule="auto"/>
            </w:pPr>
            <w:r>
              <w:rPr>
                <w:sz w:val="18"/>
              </w:rPr>
              <w:t>02922</w:t>
            </w:r>
          </w:p>
        </w:tc>
        <w:tc>
          <w:tcPr>
            <w:tcW w:w="3180" w:type="dxa"/>
            <w:tcMar>
              <w:top w:w="0" w:type="dxa"/>
              <w:bottom w:w="0" w:type="dxa"/>
            </w:tcMar>
            <w:vAlign w:val="center"/>
          </w:tcPr>
          <w:p w14:paraId="42754B70" w14:textId="77777777" w:rsidR="00BA797F" w:rsidRDefault="00000000">
            <w:pPr>
              <w:keepNext/>
              <w:keepLines/>
              <w:spacing w:after="0" w:line="240" w:lineRule="auto"/>
            </w:pPr>
            <w:r>
              <w:rPr>
                <w:sz w:val="18"/>
              </w:rPr>
              <w:t>Ispravak vrijednosti postrojenja i opreme</w:t>
            </w:r>
          </w:p>
        </w:tc>
        <w:tc>
          <w:tcPr>
            <w:tcW w:w="700" w:type="dxa"/>
            <w:tcMar>
              <w:top w:w="0" w:type="dxa"/>
              <w:bottom w:w="0" w:type="dxa"/>
            </w:tcMar>
            <w:vAlign w:val="center"/>
          </w:tcPr>
          <w:p w14:paraId="28DBEFB1" w14:textId="77777777" w:rsidR="00BA797F" w:rsidRDefault="00000000">
            <w:pPr>
              <w:keepNext/>
              <w:keepLines/>
              <w:spacing w:after="0" w:line="240" w:lineRule="auto"/>
            </w:pPr>
            <w:r>
              <w:rPr>
                <w:sz w:val="18"/>
              </w:rPr>
              <w:t>02922</w:t>
            </w:r>
          </w:p>
        </w:tc>
        <w:tc>
          <w:tcPr>
            <w:tcW w:w="1860" w:type="dxa"/>
            <w:tcMar>
              <w:top w:w="0" w:type="dxa"/>
              <w:bottom w:w="0" w:type="dxa"/>
            </w:tcMar>
            <w:vAlign w:val="center"/>
          </w:tcPr>
          <w:p w14:paraId="18871146" w14:textId="77777777" w:rsidR="00BA797F" w:rsidRDefault="00000000">
            <w:pPr>
              <w:keepNext/>
              <w:keepLines/>
              <w:spacing w:after="0" w:line="240" w:lineRule="auto"/>
              <w:jc w:val="right"/>
            </w:pPr>
            <w:r>
              <w:rPr>
                <w:sz w:val="18"/>
              </w:rPr>
              <w:t>129.720,89</w:t>
            </w:r>
          </w:p>
        </w:tc>
        <w:tc>
          <w:tcPr>
            <w:tcW w:w="1860" w:type="dxa"/>
            <w:tcMar>
              <w:top w:w="0" w:type="dxa"/>
              <w:bottom w:w="0" w:type="dxa"/>
            </w:tcMar>
            <w:vAlign w:val="center"/>
          </w:tcPr>
          <w:p w14:paraId="10AE7835" w14:textId="77777777" w:rsidR="00BA797F" w:rsidRDefault="00000000">
            <w:pPr>
              <w:keepNext/>
              <w:keepLines/>
              <w:spacing w:after="0" w:line="240" w:lineRule="auto"/>
              <w:jc w:val="right"/>
            </w:pPr>
            <w:r>
              <w:rPr>
                <w:sz w:val="18"/>
              </w:rPr>
              <w:t>151.221,74</w:t>
            </w:r>
          </w:p>
        </w:tc>
        <w:tc>
          <w:tcPr>
            <w:tcW w:w="700" w:type="dxa"/>
            <w:tcMar>
              <w:top w:w="0" w:type="dxa"/>
              <w:bottom w:w="0" w:type="dxa"/>
            </w:tcMar>
            <w:vAlign w:val="center"/>
          </w:tcPr>
          <w:p w14:paraId="10465190" w14:textId="77777777" w:rsidR="00BA797F" w:rsidRDefault="00000000">
            <w:pPr>
              <w:keepNext/>
              <w:keepLines/>
              <w:spacing w:after="0" w:line="240" w:lineRule="auto"/>
              <w:jc w:val="right"/>
            </w:pPr>
            <w:r>
              <w:rPr>
                <w:sz w:val="18"/>
              </w:rPr>
              <w:t>116,6</w:t>
            </w:r>
          </w:p>
        </w:tc>
      </w:tr>
    </w:tbl>
    <w:p w14:paraId="2ECC484E" w14:textId="77777777" w:rsidR="00BA797F" w:rsidRDefault="00BA797F">
      <w:pPr>
        <w:spacing w:after="0"/>
      </w:pPr>
    </w:p>
    <w:p w14:paraId="6DFE9BB2" w14:textId="77777777" w:rsidR="00BA797F" w:rsidRDefault="00000000">
      <w:r>
        <w:rPr>
          <w:b/>
        </w:rPr>
        <w:t>02922 -</w:t>
      </w:r>
      <w:r>
        <w:t xml:space="preserve"> Ispravak vrijednosti postrojenja i opreme uvećan je za 16,6 %  temeljem godišnjeg obračuna ispravka vrijednosti.</w:t>
      </w:r>
    </w:p>
    <w:p w14:paraId="5BA7E0D1" w14:textId="77777777" w:rsidR="00BA797F" w:rsidRDefault="00BA797F"/>
    <w:p w14:paraId="52689428" w14:textId="77777777" w:rsidR="00BA797F"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6AC731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08A165"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245186"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582D23"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C87F0B" w14:textId="77777777" w:rsidR="00BA797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BE8F0D" w14:textId="77777777" w:rsidR="00BA797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82DF8E" w14:textId="77777777" w:rsidR="00BA797F" w:rsidRDefault="00000000">
            <w:pPr>
              <w:keepNext/>
              <w:keepLines/>
              <w:spacing w:after="0" w:line="240" w:lineRule="auto"/>
              <w:jc w:val="center"/>
            </w:pPr>
            <w:r>
              <w:rPr>
                <w:b/>
                <w:sz w:val="18"/>
              </w:rPr>
              <w:t>Indeks (%)</w:t>
            </w:r>
          </w:p>
        </w:tc>
      </w:tr>
      <w:tr w:rsidR="00BA797F" w14:paraId="5017B4CF" w14:textId="77777777">
        <w:tblPrEx>
          <w:tblCellMar>
            <w:top w:w="0" w:type="dxa"/>
            <w:bottom w:w="0" w:type="dxa"/>
          </w:tblCellMar>
        </w:tblPrEx>
        <w:trPr>
          <w:cantSplit/>
          <w:trHeight w:val="560"/>
        </w:trPr>
        <w:tc>
          <w:tcPr>
            <w:tcW w:w="700" w:type="dxa"/>
            <w:tcMar>
              <w:top w:w="0" w:type="dxa"/>
              <w:bottom w:w="0" w:type="dxa"/>
            </w:tcMar>
            <w:vAlign w:val="center"/>
          </w:tcPr>
          <w:p w14:paraId="76CCE43F" w14:textId="77777777" w:rsidR="00BA797F" w:rsidRDefault="00000000">
            <w:pPr>
              <w:keepNext/>
              <w:keepLines/>
              <w:spacing w:after="0" w:line="240" w:lineRule="auto"/>
            </w:pPr>
            <w:r>
              <w:rPr>
                <w:sz w:val="18"/>
              </w:rPr>
              <w:t>02925</w:t>
            </w:r>
          </w:p>
        </w:tc>
        <w:tc>
          <w:tcPr>
            <w:tcW w:w="3180" w:type="dxa"/>
            <w:tcMar>
              <w:top w:w="0" w:type="dxa"/>
              <w:bottom w:w="0" w:type="dxa"/>
            </w:tcMar>
            <w:vAlign w:val="center"/>
          </w:tcPr>
          <w:p w14:paraId="2D5D3FFF" w14:textId="77777777" w:rsidR="00BA797F" w:rsidRDefault="00000000">
            <w:pPr>
              <w:keepNext/>
              <w:keepLines/>
              <w:spacing w:after="0" w:line="240" w:lineRule="auto"/>
            </w:pPr>
            <w:r>
              <w:rPr>
                <w:sz w:val="18"/>
              </w:rPr>
              <w:t>Ispravak vrijednosti višegodišnjih nasada i osnovnog stada</w:t>
            </w:r>
          </w:p>
        </w:tc>
        <w:tc>
          <w:tcPr>
            <w:tcW w:w="700" w:type="dxa"/>
            <w:tcMar>
              <w:top w:w="0" w:type="dxa"/>
              <w:bottom w:w="0" w:type="dxa"/>
            </w:tcMar>
            <w:vAlign w:val="center"/>
          </w:tcPr>
          <w:p w14:paraId="6D6CDDE5" w14:textId="77777777" w:rsidR="00BA797F" w:rsidRDefault="00000000">
            <w:pPr>
              <w:keepNext/>
              <w:keepLines/>
              <w:spacing w:after="0" w:line="240" w:lineRule="auto"/>
            </w:pPr>
            <w:r>
              <w:rPr>
                <w:sz w:val="18"/>
              </w:rPr>
              <w:t>02925</w:t>
            </w:r>
          </w:p>
        </w:tc>
        <w:tc>
          <w:tcPr>
            <w:tcW w:w="1860" w:type="dxa"/>
            <w:tcMar>
              <w:top w:w="0" w:type="dxa"/>
              <w:bottom w:w="0" w:type="dxa"/>
            </w:tcMar>
            <w:vAlign w:val="center"/>
          </w:tcPr>
          <w:p w14:paraId="0489863E" w14:textId="77777777" w:rsidR="00BA797F" w:rsidRDefault="00000000">
            <w:pPr>
              <w:keepNext/>
              <w:keepLines/>
              <w:spacing w:after="0" w:line="240" w:lineRule="auto"/>
              <w:jc w:val="right"/>
            </w:pPr>
            <w:r>
              <w:rPr>
                <w:sz w:val="18"/>
              </w:rPr>
              <w:t>35,49</w:t>
            </w:r>
          </w:p>
        </w:tc>
        <w:tc>
          <w:tcPr>
            <w:tcW w:w="1860" w:type="dxa"/>
            <w:tcMar>
              <w:top w:w="0" w:type="dxa"/>
              <w:bottom w:w="0" w:type="dxa"/>
            </w:tcMar>
            <w:vAlign w:val="center"/>
          </w:tcPr>
          <w:p w14:paraId="2AEFA94E" w14:textId="77777777" w:rsidR="00BA797F" w:rsidRDefault="00000000">
            <w:pPr>
              <w:keepNext/>
              <w:keepLines/>
              <w:spacing w:after="0" w:line="240" w:lineRule="auto"/>
              <w:jc w:val="right"/>
            </w:pPr>
            <w:r>
              <w:rPr>
                <w:sz w:val="18"/>
              </w:rPr>
              <w:t>100,47</w:t>
            </w:r>
          </w:p>
        </w:tc>
        <w:tc>
          <w:tcPr>
            <w:tcW w:w="700" w:type="dxa"/>
            <w:tcMar>
              <w:top w:w="0" w:type="dxa"/>
              <w:bottom w:w="0" w:type="dxa"/>
            </w:tcMar>
            <w:vAlign w:val="center"/>
          </w:tcPr>
          <w:p w14:paraId="473ED254" w14:textId="77777777" w:rsidR="00BA797F" w:rsidRDefault="00000000">
            <w:pPr>
              <w:keepNext/>
              <w:keepLines/>
              <w:spacing w:after="0" w:line="240" w:lineRule="auto"/>
              <w:jc w:val="right"/>
            </w:pPr>
            <w:r>
              <w:rPr>
                <w:sz w:val="18"/>
              </w:rPr>
              <w:t>283,1</w:t>
            </w:r>
          </w:p>
        </w:tc>
      </w:tr>
    </w:tbl>
    <w:p w14:paraId="3880504D" w14:textId="77777777" w:rsidR="00BA797F" w:rsidRDefault="00BA797F">
      <w:pPr>
        <w:spacing w:after="0"/>
      </w:pPr>
    </w:p>
    <w:p w14:paraId="2D95716A" w14:textId="77777777" w:rsidR="00BA797F" w:rsidRDefault="00000000">
      <w:r>
        <w:t>Višegodišnji nasadi zasađeni su tijekom 2024. godine u dvorištu Jedinstva.</w:t>
      </w:r>
    </w:p>
    <w:p w14:paraId="592CC85F" w14:textId="77777777" w:rsidR="00BA797F" w:rsidRDefault="00BA797F"/>
    <w:p w14:paraId="260FCEB0" w14:textId="77777777" w:rsidR="00BA797F"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5751D2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78F82D"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D59FB5"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5C8F90"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FC529E" w14:textId="77777777" w:rsidR="00BA797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FA3FEF" w14:textId="77777777" w:rsidR="00BA797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7360B5" w14:textId="77777777" w:rsidR="00BA797F" w:rsidRDefault="00000000">
            <w:pPr>
              <w:keepNext/>
              <w:keepLines/>
              <w:spacing w:after="0" w:line="240" w:lineRule="auto"/>
              <w:jc w:val="center"/>
            </w:pPr>
            <w:r>
              <w:rPr>
                <w:b/>
                <w:sz w:val="18"/>
              </w:rPr>
              <w:t>Indeks (%)</w:t>
            </w:r>
          </w:p>
        </w:tc>
      </w:tr>
      <w:tr w:rsidR="00BA797F" w14:paraId="4CA09583" w14:textId="77777777">
        <w:tblPrEx>
          <w:tblCellMar>
            <w:top w:w="0" w:type="dxa"/>
            <w:bottom w:w="0" w:type="dxa"/>
          </w:tblCellMar>
        </w:tblPrEx>
        <w:trPr>
          <w:cantSplit/>
          <w:trHeight w:val="560"/>
        </w:trPr>
        <w:tc>
          <w:tcPr>
            <w:tcW w:w="700" w:type="dxa"/>
            <w:tcMar>
              <w:top w:w="0" w:type="dxa"/>
              <w:bottom w:w="0" w:type="dxa"/>
            </w:tcMar>
            <w:vAlign w:val="center"/>
          </w:tcPr>
          <w:p w14:paraId="78F31AF3" w14:textId="77777777" w:rsidR="00BA797F" w:rsidRDefault="00000000">
            <w:pPr>
              <w:keepNext/>
              <w:keepLines/>
              <w:spacing w:after="0" w:line="240" w:lineRule="auto"/>
            </w:pPr>
            <w:r>
              <w:rPr>
                <w:sz w:val="18"/>
              </w:rPr>
              <w:t>055</w:t>
            </w:r>
          </w:p>
        </w:tc>
        <w:tc>
          <w:tcPr>
            <w:tcW w:w="3180" w:type="dxa"/>
            <w:tcMar>
              <w:top w:w="0" w:type="dxa"/>
              <w:bottom w:w="0" w:type="dxa"/>
            </w:tcMar>
            <w:vAlign w:val="center"/>
          </w:tcPr>
          <w:p w14:paraId="215DD643" w14:textId="77777777" w:rsidR="00BA797F" w:rsidRDefault="00000000">
            <w:pPr>
              <w:keepNext/>
              <w:keepLines/>
              <w:spacing w:after="0" w:line="240" w:lineRule="auto"/>
            </w:pPr>
            <w:r>
              <w:rPr>
                <w:sz w:val="18"/>
              </w:rPr>
              <w:t>Ostala nematerijalna proizvedena imovina u pripremi</w:t>
            </w:r>
          </w:p>
        </w:tc>
        <w:tc>
          <w:tcPr>
            <w:tcW w:w="700" w:type="dxa"/>
            <w:tcMar>
              <w:top w:w="0" w:type="dxa"/>
              <w:bottom w:w="0" w:type="dxa"/>
            </w:tcMar>
            <w:vAlign w:val="center"/>
          </w:tcPr>
          <w:p w14:paraId="27F19717" w14:textId="77777777" w:rsidR="00BA797F" w:rsidRDefault="00000000">
            <w:pPr>
              <w:keepNext/>
              <w:keepLines/>
              <w:spacing w:after="0" w:line="240" w:lineRule="auto"/>
            </w:pPr>
            <w:r>
              <w:rPr>
                <w:sz w:val="18"/>
              </w:rPr>
              <w:t>055</w:t>
            </w:r>
          </w:p>
        </w:tc>
        <w:tc>
          <w:tcPr>
            <w:tcW w:w="1860" w:type="dxa"/>
            <w:tcMar>
              <w:top w:w="0" w:type="dxa"/>
              <w:bottom w:w="0" w:type="dxa"/>
            </w:tcMar>
            <w:vAlign w:val="center"/>
          </w:tcPr>
          <w:p w14:paraId="7A3E2385" w14:textId="77777777" w:rsidR="00BA797F" w:rsidRDefault="00000000">
            <w:pPr>
              <w:keepNext/>
              <w:keepLines/>
              <w:spacing w:after="0" w:line="240" w:lineRule="auto"/>
              <w:jc w:val="right"/>
            </w:pPr>
            <w:r>
              <w:rPr>
                <w:sz w:val="18"/>
              </w:rPr>
              <w:t>101.768,72</w:t>
            </w:r>
          </w:p>
        </w:tc>
        <w:tc>
          <w:tcPr>
            <w:tcW w:w="1860" w:type="dxa"/>
            <w:tcMar>
              <w:top w:w="0" w:type="dxa"/>
              <w:bottom w:w="0" w:type="dxa"/>
            </w:tcMar>
            <w:vAlign w:val="center"/>
          </w:tcPr>
          <w:p w14:paraId="3CE5A12C" w14:textId="77777777" w:rsidR="00BA797F" w:rsidRDefault="00000000">
            <w:pPr>
              <w:keepNext/>
              <w:keepLines/>
              <w:spacing w:after="0" w:line="240" w:lineRule="auto"/>
              <w:jc w:val="right"/>
            </w:pPr>
            <w:r>
              <w:rPr>
                <w:sz w:val="18"/>
              </w:rPr>
              <w:t>104.268,72</w:t>
            </w:r>
          </w:p>
        </w:tc>
        <w:tc>
          <w:tcPr>
            <w:tcW w:w="700" w:type="dxa"/>
            <w:tcMar>
              <w:top w:w="0" w:type="dxa"/>
              <w:bottom w:w="0" w:type="dxa"/>
            </w:tcMar>
            <w:vAlign w:val="center"/>
          </w:tcPr>
          <w:p w14:paraId="5064F890" w14:textId="77777777" w:rsidR="00BA797F" w:rsidRDefault="00000000">
            <w:pPr>
              <w:keepNext/>
              <w:keepLines/>
              <w:spacing w:after="0" w:line="240" w:lineRule="auto"/>
              <w:jc w:val="right"/>
            </w:pPr>
            <w:r>
              <w:rPr>
                <w:sz w:val="18"/>
              </w:rPr>
              <w:t>102,5</w:t>
            </w:r>
          </w:p>
        </w:tc>
      </w:tr>
    </w:tbl>
    <w:p w14:paraId="47949D54" w14:textId="77777777" w:rsidR="00BA797F" w:rsidRDefault="00BA797F">
      <w:pPr>
        <w:spacing w:after="0"/>
      </w:pPr>
    </w:p>
    <w:p w14:paraId="2B647815" w14:textId="77777777" w:rsidR="00BA797F" w:rsidRDefault="00000000">
      <w:r>
        <w:t xml:space="preserve">Dugotrajna nefinancijska imovina u pripremi iznosi </w:t>
      </w:r>
      <w:r>
        <w:rPr>
          <w:b/>
        </w:rPr>
        <w:t>104.268,72 €</w:t>
      </w:r>
      <w:r>
        <w:t xml:space="preserve"> – Ostala nematerijalna proizvedena imovina u pripremi odnosi se na ukupan iznos sredstava koji je utrošen kao priprema projekta rekonstrukcije zgrade Pogona Jedinstvo, čiji je Grad Zagreb vlasnik. Iako nisu stvoreni uvjeti za realizaciju projekta, u dogovoru s vlasnikom prostora zaključeno je da će ova stavka do daljnjega ostati nepromijenjena, dok se ne preispitaju daljnje mogućnosti realizacije projekta.</w:t>
      </w:r>
    </w:p>
    <w:p w14:paraId="485F8BEE" w14:textId="77777777" w:rsidR="00BA797F" w:rsidRDefault="00BA797F"/>
    <w:p w14:paraId="1487FC2F" w14:textId="77777777" w:rsidR="00BA797F"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22CEE9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E25EEE"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60B1B7"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8EB0D8"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230F81" w14:textId="77777777" w:rsidR="00BA797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16BB2E" w14:textId="77777777" w:rsidR="00BA797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179C2B" w14:textId="77777777" w:rsidR="00BA797F" w:rsidRDefault="00000000">
            <w:pPr>
              <w:keepNext/>
              <w:keepLines/>
              <w:spacing w:after="0" w:line="240" w:lineRule="auto"/>
              <w:jc w:val="center"/>
            </w:pPr>
            <w:r>
              <w:rPr>
                <w:b/>
                <w:sz w:val="18"/>
              </w:rPr>
              <w:t>Indeks (%)</w:t>
            </w:r>
          </w:p>
        </w:tc>
      </w:tr>
      <w:tr w:rsidR="00BA797F" w14:paraId="257EF135" w14:textId="77777777">
        <w:tblPrEx>
          <w:tblCellMar>
            <w:top w:w="0" w:type="dxa"/>
            <w:bottom w:w="0" w:type="dxa"/>
          </w:tblCellMar>
        </w:tblPrEx>
        <w:trPr>
          <w:cantSplit/>
          <w:trHeight w:val="560"/>
        </w:trPr>
        <w:tc>
          <w:tcPr>
            <w:tcW w:w="700" w:type="dxa"/>
            <w:tcMar>
              <w:top w:w="0" w:type="dxa"/>
              <w:bottom w:w="0" w:type="dxa"/>
            </w:tcMar>
            <w:vAlign w:val="center"/>
          </w:tcPr>
          <w:p w14:paraId="76EFF2F2" w14:textId="77777777" w:rsidR="00BA797F" w:rsidRDefault="00000000">
            <w:pPr>
              <w:keepNext/>
              <w:keepLines/>
              <w:spacing w:after="0" w:line="240" w:lineRule="auto"/>
            </w:pPr>
            <w:r>
              <w:rPr>
                <w:sz w:val="18"/>
              </w:rPr>
              <w:t>2</w:t>
            </w:r>
          </w:p>
        </w:tc>
        <w:tc>
          <w:tcPr>
            <w:tcW w:w="3180" w:type="dxa"/>
            <w:tcMar>
              <w:top w:w="0" w:type="dxa"/>
              <w:bottom w:w="0" w:type="dxa"/>
            </w:tcMar>
            <w:vAlign w:val="center"/>
          </w:tcPr>
          <w:p w14:paraId="6E48184F" w14:textId="77777777" w:rsidR="00BA797F" w:rsidRDefault="00000000">
            <w:pPr>
              <w:keepNext/>
              <w:keepLines/>
              <w:spacing w:after="0" w:line="240" w:lineRule="auto"/>
            </w:pPr>
            <w:r>
              <w:rPr>
                <w:sz w:val="18"/>
              </w:rPr>
              <w:t>Obveze (šifre 23+24+25+26+27+29)</w:t>
            </w:r>
          </w:p>
        </w:tc>
        <w:tc>
          <w:tcPr>
            <w:tcW w:w="700" w:type="dxa"/>
            <w:tcMar>
              <w:top w:w="0" w:type="dxa"/>
              <w:bottom w:w="0" w:type="dxa"/>
            </w:tcMar>
            <w:vAlign w:val="center"/>
          </w:tcPr>
          <w:p w14:paraId="5ED98C34" w14:textId="77777777" w:rsidR="00BA797F" w:rsidRDefault="00000000">
            <w:pPr>
              <w:keepNext/>
              <w:keepLines/>
              <w:spacing w:after="0" w:line="240" w:lineRule="auto"/>
            </w:pPr>
            <w:r>
              <w:rPr>
                <w:sz w:val="18"/>
              </w:rPr>
              <w:t>2</w:t>
            </w:r>
          </w:p>
        </w:tc>
        <w:tc>
          <w:tcPr>
            <w:tcW w:w="1860" w:type="dxa"/>
            <w:tcMar>
              <w:top w:w="0" w:type="dxa"/>
              <w:bottom w:w="0" w:type="dxa"/>
            </w:tcMar>
            <w:vAlign w:val="center"/>
          </w:tcPr>
          <w:p w14:paraId="5AE48A52" w14:textId="77777777" w:rsidR="00BA797F" w:rsidRDefault="00000000">
            <w:pPr>
              <w:keepNext/>
              <w:keepLines/>
              <w:spacing w:after="0" w:line="240" w:lineRule="auto"/>
              <w:jc w:val="right"/>
            </w:pPr>
            <w:r>
              <w:rPr>
                <w:sz w:val="18"/>
              </w:rPr>
              <w:t>134.736,05</w:t>
            </w:r>
          </w:p>
        </w:tc>
        <w:tc>
          <w:tcPr>
            <w:tcW w:w="1860" w:type="dxa"/>
            <w:tcMar>
              <w:top w:w="0" w:type="dxa"/>
              <w:bottom w:w="0" w:type="dxa"/>
            </w:tcMar>
            <w:vAlign w:val="center"/>
          </w:tcPr>
          <w:p w14:paraId="0C9B470E" w14:textId="77777777" w:rsidR="00BA797F" w:rsidRDefault="00000000">
            <w:pPr>
              <w:keepNext/>
              <w:keepLines/>
              <w:spacing w:after="0" w:line="240" w:lineRule="auto"/>
              <w:jc w:val="right"/>
            </w:pPr>
            <w:r>
              <w:rPr>
                <w:sz w:val="18"/>
              </w:rPr>
              <w:t>108.194,67</w:t>
            </w:r>
          </w:p>
        </w:tc>
        <w:tc>
          <w:tcPr>
            <w:tcW w:w="700" w:type="dxa"/>
            <w:tcMar>
              <w:top w:w="0" w:type="dxa"/>
              <w:bottom w:w="0" w:type="dxa"/>
            </w:tcMar>
            <w:vAlign w:val="center"/>
          </w:tcPr>
          <w:p w14:paraId="3C01A0B4" w14:textId="77777777" w:rsidR="00BA797F" w:rsidRDefault="00000000">
            <w:pPr>
              <w:keepNext/>
              <w:keepLines/>
              <w:spacing w:after="0" w:line="240" w:lineRule="auto"/>
              <w:jc w:val="right"/>
            </w:pPr>
            <w:r>
              <w:rPr>
                <w:sz w:val="18"/>
              </w:rPr>
              <w:t>80,3</w:t>
            </w:r>
          </w:p>
        </w:tc>
      </w:tr>
    </w:tbl>
    <w:p w14:paraId="11F8539A" w14:textId="77777777" w:rsidR="00BA797F" w:rsidRDefault="00BA797F">
      <w:pPr>
        <w:spacing w:after="0"/>
      </w:pPr>
    </w:p>
    <w:p w14:paraId="7EABEA26" w14:textId="77777777" w:rsidR="00BA797F" w:rsidRDefault="00000000">
      <w:r>
        <w:t xml:space="preserve">Ukupne obveze na razredu 2 bilježe smanjenje od 19,7% u odnosu na prethodnu godinu i iznose </w:t>
      </w:r>
      <w:r>
        <w:rPr>
          <w:b/>
        </w:rPr>
        <w:t>108.194,67 €</w:t>
      </w:r>
      <w:r>
        <w:t>. Rezultat je smanjenja obveza za rashode poslovanja.</w:t>
      </w:r>
    </w:p>
    <w:p w14:paraId="24429E48" w14:textId="77777777" w:rsidR="00BA797F" w:rsidRDefault="00BA797F"/>
    <w:p w14:paraId="2ABEE7FB" w14:textId="77777777" w:rsidR="00BA797F"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0F05DC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D64805"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95DEBA"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8E699A"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75FF3A" w14:textId="77777777" w:rsidR="00BA797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CD3C72" w14:textId="77777777" w:rsidR="00BA797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94BC3A" w14:textId="77777777" w:rsidR="00BA797F" w:rsidRDefault="00000000">
            <w:pPr>
              <w:keepNext/>
              <w:keepLines/>
              <w:spacing w:after="0" w:line="240" w:lineRule="auto"/>
              <w:jc w:val="center"/>
            </w:pPr>
            <w:r>
              <w:rPr>
                <w:b/>
                <w:sz w:val="18"/>
              </w:rPr>
              <w:t>Indeks (%)</w:t>
            </w:r>
          </w:p>
        </w:tc>
      </w:tr>
      <w:tr w:rsidR="00BA797F" w14:paraId="7784E30A" w14:textId="77777777">
        <w:tblPrEx>
          <w:tblCellMar>
            <w:top w:w="0" w:type="dxa"/>
            <w:bottom w:w="0" w:type="dxa"/>
          </w:tblCellMar>
        </w:tblPrEx>
        <w:trPr>
          <w:cantSplit/>
          <w:trHeight w:val="560"/>
        </w:trPr>
        <w:tc>
          <w:tcPr>
            <w:tcW w:w="700" w:type="dxa"/>
            <w:tcMar>
              <w:top w:w="0" w:type="dxa"/>
              <w:bottom w:w="0" w:type="dxa"/>
            </w:tcMar>
            <w:vAlign w:val="center"/>
          </w:tcPr>
          <w:p w14:paraId="6EECF07C" w14:textId="77777777" w:rsidR="00BA797F" w:rsidRDefault="00000000">
            <w:pPr>
              <w:keepNext/>
              <w:keepLines/>
              <w:spacing w:after="0" w:line="240" w:lineRule="auto"/>
            </w:pPr>
            <w:r>
              <w:rPr>
                <w:sz w:val="18"/>
              </w:rPr>
              <w:t>922</w:t>
            </w:r>
          </w:p>
        </w:tc>
        <w:tc>
          <w:tcPr>
            <w:tcW w:w="3180" w:type="dxa"/>
            <w:tcMar>
              <w:top w:w="0" w:type="dxa"/>
              <w:bottom w:w="0" w:type="dxa"/>
            </w:tcMar>
            <w:vAlign w:val="center"/>
          </w:tcPr>
          <w:p w14:paraId="12D2BE82" w14:textId="77777777" w:rsidR="00BA797F"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39E345A3" w14:textId="77777777" w:rsidR="00BA797F" w:rsidRDefault="00000000">
            <w:pPr>
              <w:keepNext/>
              <w:keepLines/>
              <w:spacing w:after="0" w:line="240" w:lineRule="auto"/>
            </w:pPr>
            <w:r>
              <w:rPr>
                <w:sz w:val="18"/>
              </w:rPr>
              <w:t>922</w:t>
            </w:r>
          </w:p>
        </w:tc>
        <w:tc>
          <w:tcPr>
            <w:tcW w:w="1860" w:type="dxa"/>
            <w:tcMar>
              <w:top w:w="0" w:type="dxa"/>
              <w:bottom w:w="0" w:type="dxa"/>
            </w:tcMar>
            <w:vAlign w:val="center"/>
          </w:tcPr>
          <w:p w14:paraId="5EF351D5" w14:textId="77777777" w:rsidR="00BA797F" w:rsidRDefault="00000000">
            <w:pPr>
              <w:keepNext/>
              <w:keepLines/>
              <w:spacing w:after="0" w:line="240" w:lineRule="auto"/>
              <w:jc w:val="right"/>
            </w:pPr>
            <w:r>
              <w:rPr>
                <w:sz w:val="18"/>
              </w:rPr>
              <w:t>-130.076,16</w:t>
            </w:r>
          </w:p>
        </w:tc>
        <w:tc>
          <w:tcPr>
            <w:tcW w:w="1860" w:type="dxa"/>
            <w:tcMar>
              <w:top w:w="0" w:type="dxa"/>
              <w:bottom w:w="0" w:type="dxa"/>
            </w:tcMar>
            <w:vAlign w:val="center"/>
          </w:tcPr>
          <w:p w14:paraId="37974D7E" w14:textId="77777777" w:rsidR="00BA797F" w:rsidRDefault="00000000">
            <w:pPr>
              <w:keepNext/>
              <w:keepLines/>
              <w:spacing w:after="0" w:line="240" w:lineRule="auto"/>
              <w:jc w:val="right"/>
            </w:pPr>
            <w:r>
              <w:rPr>
                <w:sz w:val="18"/>
              </w:rPr>
              <w:t>-91.886,90</w:t>
            </w:r>
          </w:p>
        </w:tc>
        <w:tc>
          <w:tcPr>
            <w:tcW w:w="700" w:type="dxa"/>
            <w:tcMar>
              <w:top w:w="0" w:type="dxa"/>
              <w:bottom w:w="0" w:type="dxa"/>
            </w:tcMar>
            <w:vAlign w:val="center"/>
          </w:tcPr>
          <w:p w14:paraId="4284B0F1" w14:textId="77777777" w:rsidR="00BA797F" w:rsidRDefault="00000000">
            <w:pPr>
              <w:keepNext/>
              <w:keepLines/>
              <w:spacing w:after="0" w:line="240" w:lineRule="auto"/>
              <w:jc w:val="right"/>
            </w:pPr>
            <w:r>
              <w:rPr>
                <w:sz w:val="18"/>
              </w:rPr>
              <w:t>70,6</w:t>
            </w:r>
          </w:p>
        </w:tc>
      </w:tr>
    </w:tbl>
    <w:p w14:paraId="40070080" w14:textId="77777777" w:rsidR="00BA797F" w:rsidRDefault="00BA797F">
      <w:pPr>
        <w:spacing w:after="0"/>
      </w:pPr>
    </w:p>
    <w:p w14:paraId="67AB10BB" w14:textId="77777777" w:rsidR="00BA797F" w:rsidRDefault="00000000">
      <w:r>
        <w:t>Bilješka uz poziciju 922 višak/manjak prihoda</w:t>
      </w:r>
    </w:p>
    <w:p w14:paraId="28ADB4CB" w14:textId="77777777" w:rsidR="00BA797F" w:rsidRDefault="00000000">
      <w:r>
        <w:t>Sukladno čl.215 st.1 novog Pravilnika o proračunskom računovodstvu rezultat-višak ili manjak prihoda mora se iskazati i prema izvorima financiranja na razini osnovnog računa. </w:t>
      </w:r>
    </w:p>
    <w:p w14:paraId="2AFDA7F0" w14:textId="77777777" w:rsidR="00BA797F" w:rsidRDefault="00000000">
      <w:r>
        <w:t xml:space="preserve">Manjak od </w:t>
      </w:r>
      <w:r>
        <w:rPr>
          <w:b/>
        </w:rPr>
        <w:t>91.886,90 €</w:t>
      </w:r>
      <w:r>
        <w:t xml:space="preserve"> na dan 31.12.2025 u potpunosti se odnosi se na metodološki manjak iz nadležnog proračuna .</w:t>
      </w:r>
    </w:p>
    <w:p w14:paraId="60207402" w14:textId="77777777" w:rsidR="00BA797F" w:rsidRDefault="00000000">
      <w:r>
        <w:t xml:space="preserve">Člankom 82. Pravilnika o proračunskom računovodstvu provedena je korekcija rezultata poslovanja zbog kapitalnih prijenosa sredstava kojima su financirane nabave nefinancijske imovine. Tijekom 2025. godine evidentirani su na računima kapitalnih prijenosa sredstva u iznosu </w:t>
      </w:r>
      <w:r>
        <w:rPr>
          <w:b/>
        </w:rPr>
        <w:t xml:space="preserve">86.330,94 € </w:t>
      </w:r>
      <w:r>
        <w:t>koja su utrošena za nabavku dugotrajne nefinancijske imovine na kontu - 67121.</w:t>
      </w:r>
    </w:p>
    <w:tbl>
      <w:tblPr>
        <w:tblStyle w:val="Reetkatablice"/>
        <w:tblW w:w="5000" w:type="pct"/>
        <w:tblLook w:val="04A0" w:firstRow="1" w:lastRow="0" w:firstColumn="1" w:lastColumn="0" w:noHBand="0" w:noVBand="1"/>
      </w:tblPr>
      <w:tblGrid>
        <w:gridCol w:w="816"/>
        <w:gridCol w:w="2928"/>
        <w:gridCol w:w="1733"/>
        <w:gridCol w:w="1850"/>
        <w:gridCol w:w="1735"/>
      </w:tblGrid>
      <w:tr w:rsidR="00BA797F" w14:paraId="05BB8468" w14:textId="77777777">
        <w:trPr>
          <w:trHeight w:val="540"/>
        </w:trPr>
        <w:tc>
          <w:tcPr>
            <w:tcW w:w="341" w:type="pct"/>
            <w:vAlign w:val="center"/>
          </w:tcPr>
          <w:p w14:paraId="580F580D" w14:textId="77777777" w:rsidR="00BA797F" w:rsidRDefault="00000000">
            <w:r>
              <w:t> </w:t>
            </w:r>
          </w:p>
        </w:tc>
        <w:tc>
          <w:tcPr>
            <w:tcW w:w="1658" w:type="pct"/>
            <w:vAlign w:val="center"/>
          </w:tcPr>
          <w:p w14:paraId="5FB1D711" w14:textId="77777777" w:rsidR="00BA797F" w:rsidRDefault="00000000">
            <w:r>
              <w:rPr>
                <w:b/>
              </w:rPr>
              <w:t>POZICIJE NA DAN 31.12.2025.</w:t>
            </w:r>
          </w:p>
        </w:tc>
        <w:tc>
          <w:tcPr>
            <w:tcW w:w="999" w:type="pct"/>
            <w:vAlign w:val="center"/>
          </w:tcPr>
          <w:p w14:paraId="44949A0A" w14:textId="77777777" w:rsidR="00BA797F" w:rsidRDefault="00000000">
            <w:pPr>
              <w:keepNext/>
              <w:jc w:val="center"/>
            </w:pPr>
            <w:r>
              <w:rPr>
                <w:b/>
              </w:rPr>
              <w:t>PR-RAS</w:t>
            </w:r>
          </w:p>
        </w:tc>
        <w:tc>
          <w:tcPr>
            <w:tcW w:w="999" w:type="pct"/>
            <w:vAlign w:val="center"/>
          </w:tcPr>
          <w:p w14:paraId="13E65CEF" w14:textId="77777777" w:rsidR="00BA797F" w:rsidRDefault="00000000">
            <w:r>
              <w:rPr>
                <w:b/>
              </w:rPr>
              <w:t>1.KOREKCIJA KAPITALNIH PRIJENOSA</w:t>
            </w:r>
          </w:p>
        </w:tc>
        <w:tc>
          <w:tcPr>
            <w:tcW w:w="1000" w:type="pct"/>
            <w:vAlign w:val="center"/>
          </w:tcPr>
          <w:p w14:paraId="0787F480" w14:textId="77777777" w:rsidR="00BA797F" w:rsidRDefault="00000000">
            <w:r>
              <w:rPr>
                <w:b/>
              </w:rPr>
              <w:t>BILANCA</w:t>
            </w:r>
          </w:p>
        </w:tc>
      </w:tr>
      <w:tr w:rsidR="00BA797F" w14:paraId="522C7A6A" w14:textId="77777777">
        <w:trPr>
          <w:trHeight w:val="540"/>
        </w:trPr>
        <w:tc>
          <w:tcPr>
            <w:tcW w:w="341" w:type="pct"/>
            <w:vAlign w:val="center"/>
          </w:tcPr>
          <w:p w14:paraId="05D33C36" w14:textId="77777777" w:rsidR="00BA797F" w:rsidRDefault="00000000">
            <w:r>
              <w:t>92211</w:t>
            </w:r>
          </w:p>
        </w:tc>
        <w:tc>
          <w:tcPr>
            <w:tcW w:w="1658" w:type="pct"/>
            <w:vAlign w:val="center"/>
          </w:tcPr>
          <w:p w14:paraId="13B9A076" w14:textId="77777777" w:rsidR="00BA797F" w:rsidRDefault="00000000">
            <w:r>
              <w:t>VIŠAK PRIHODA POSLOVANJA</w:t>
            </w:r>
          </w:p>
        </w:tc>
        <w:tc>
          <w:tcPr>
            <w:tcW w:w="999" w:type="pct"/>
            <w:vAlign w:val="center"/>
          </w:tcPr>
          <w:p w14:paraId="534D9539" w14:textId="77777777" w:rsidR="00BA797F" w:rsidRDefault="00000000">
            <w:r>
              <w:t>+ 37.509,63 €</w:t>
            </w:r>
          </w:p>
        </w:tc>
        <w:tc>
          <w:tcPr>
            <w:tcW w:w="999" w:type="pct"/>
            <w:vAlign w:val="center"/>
          </w:tcPr>
          <w:p w14:paraId="62629B0C" w14:textId="77777777" w:rsidR="00BA797F" w:rsidRDefault="00000000">
            <w:r>
              <w:t> </w:t>
            </w:r>
          </w:p>
        </w:tc>
        <w:tc>
          <w:tcPr>
            <w:tcW w:w="1000" w:type="pct"/>
            <w:vAlign w:val="center"/>
          </w:tcPr>
          <w:p w14:paraId="7BE31869" w14:textId="77777777" w:rsidR="00BA797F" w:rsidRDefault="00000000">
            <w:r>
              <w:t> </w:t>
            </w:r>
          </w:p>
        </w:tc>
      </w:tr>
      <w:tr w:rsidR="00BA797F" w14:paraId="20808173" w14:textId="77777777">
        <w:tc>
          <w:tcPr>
            <w:tcW w:w="341" w:type="pct"/>
            <w:vAlign w:val="center"/>
          </w:tcPr>
          <w:p w14:paraId="0F612188" w14:textId="77777777" w:rsidR="00BA797F" w:rsidRDefault="00000000">
            <w:r>
              <w:t>92221</w:t>
            </w:r>
          </w:p>
        </w:tc>
        <w:tc>
          <w:tcPr>
            <w:tcW w:w="1658" w:type="pct"/>
            <w:vAlign w:val="center"/>
          </w:tcPr>
          <w:p w14:paraId="1C501CE6" w14:textId="77777777" w:rsidR="00BA797F" w:rsidRDefault="00000000">
            <w:r>
              <w:t>MANJAK PRIHODA POSLOVANJA</w:t>
            </w:r>
          </w:p>
        </w:tc>
        <w:tc>
          <w:tcPr>
            <w:tcW w:w="999" w:type="pct"/>
            <w:vAlign w:val="center"/>
          </w:tcPr>
          <w:p w14:paraId="487169C3" w14:textId="77777777" w:rsidR="00BA797F" w:rsidRDefault="00000000">
            <w:r>
              <w:t> </w:t>
            </w:r>
          </w:p>
        </w:tc>
        <w:tc>
          <w:tcPr>
            <w:tcW w:w="999" w:type="pct"/>
            <w:vAlign w:val="center"/>
          </w:tcPr>
          <w:p w14:paraId="41F33F3F" w14:textId="77777777" w:rsidR="00BA797F" w:rsidRDefault="00000000">
            <w:r>
              <w:t>- 86.330,94€</w:t>
            </w:r>
          </w:p>
        </w:tc>
        <w:tc>
          <w:tcPr>
            <w:tcW w:w="1000" w:type="pct"/>
            <w:vAlign w:val="center"/>
          </w:tcPr>
          <w:p w14:paraId="2BCE32D3" w14:textId="77777777" w:rsidR="00BA797F" w:rsidRDefault="00000000">
            <w:r>
              <w:t>- 48.821,31€</w:t>
            </w:r>
          </w:p>
        </w:tc>
      </w:tr>
      <w:tr w:rsidR="00BA797F" w14:paraId="29204270" w14:textId="77777777">
        <w:tc>
          <w:tcPr>
            <w:tcW w:w="341" w:type="pct"/>
            <w:vAlign w:val="center"/>
          </w:tcPr>
          <w:p w14:paraId="7CF2E679" w14:textId="77777777" w:rsidR="00BA797F" w:rsidRDefault="00000000">
            <w:r>
              <w:t>92222</w:t>
            </w:r>
          </w:p>
        </w:tc>
        <w:tc>
          <w:tcPr>
            <w:tcW w:w="1658" w:type="pct"/>
            <w:vAlign w:val="center"/>
          </w:tcPr>
          <w:p w14:paraId="0D80BE06" w14:textId="77777777" w:rsidR="00BA797F" w:rsidRDefault="00000000">
            <w:r>
              <w:t>MANJAK PRIHODA OD NEFINANCIJSKE IMOVINE</w:t>
            </w:r>
          </w:p>
        </w:tc>
        <w:tc>
          <w:tcPr>
            <w:tcW w:w="999" w:type="pct"/>
            <w:vAlign w:val="center"/>
          </w:tcPr>
          <w:p w14:paraId="1F06AEA5" w14:textId="77777777" w:rsidR="00BA797F" w:rsidRDefault="00000000">
            <w:r>
              <w:t>-129.396,53 €</w:t>
            </w:r>
          </w:p>
        </w:tc>
        <w:tc>
          <w:tcPr>
            <w:tcW w:w="999" w:type="pct"/>
            <w:vAlign w:val="center"/>
          </w:tcPr>
          <w:p w14:paraId="5E66A7D6" w14:textId="77777777" w:rsidR="00BA797F" w:rsidRDefault="00000000">
            <w:r>
              <w:t>+86.330,94 €</w:t>
            </w:r>
          </w:p>
        </w:tc>
        <w:tc>
          <w:tcPr>
            <w:tcW w:w="1000" w:type="pct"/>
            <w:vAlign w:val="center"/>
          </w:tcPr>
          <w:p w14:paraId="2341A9EA" w14:textId="77777777" w:rsidR="00BA797F" w:rsidRDefault="00000000">
            <w:r>
              <w:t>- 43.065,59 €</w:t>
            </w:r>
          </w:p>
        </w:tc>
      </w:tr>
      <w:tr w:rsidR="00BA797F" w14:paraId="4915C8CA" w14:textId="77777777">
        <w:tc>
          <w:tcPr>
            <w:tcW w:w="341" w:type="pct"/>
            <w:vAlign w:val="center"/>
          </w:tcPr>
          <w:p w14:paraId="55A180A7" w14:textId="77777777" w:rsidR="00BA797F" w:rsidRDefault="00000000">
            <w:r>
              <w:t> </w:t>
            </w:r>
          </w:p>
        </w:tc>
        <w:tc>
          <w:tcPr>
            <w:tcW w:w="1658" w:type="pct"/>
            <w:vAlign w:val="center"/>
          </w:tcPr>
          <w:p w14:paraId="2FD168D3" w14:textId="77777777" w:rsidR="00BA797F" w:rsidRDefault="00000000">
            <w:r>
              <w:rPr>
                <w:b/>
              </w:rPr>
              <w:t>REZULTAT</w:t>
            </w:r>
          </w:p>
        </w:tc>
        <w:tc>
          <w:tcPr>
            <w:tcW w:w="999" w:type="pct"/>
            <w:vAlign w:val="center"/>
          </w:tcPr>
          <w:p w14:paraId="0FAF3E8C" w14:textId="77777777" w:rsidR="00BA797F" w:rsidRDefault="00000000">
            <w:r>
              <w:rPr>
                <w:b/>
              </w:rPr>
              <w:t>- 91.886,90 €</w:t>
            </w:r>
          </w:p>
        </w:tc>
        <w:tc>
          <w:tcPr>
            <w:tcW w:w="999" w:type="pct"/>
            <w:vAlign w:val="center"/>
          </w:tcPr>
          <w:p w14:paraId="50FF36CF" w14:textId="77777777" w:rsidR="00BA797F" w:rsidRDefault="00000000">
            <w:r>
              <w:rPr>
                <w:b/>
              </w:rPr>
              <w:t>0</w:t>
            </w:r>
          </w:p>
        </w:tc>
        <w:tc>
          <w:tcPr>
            <w:tcW w:w="1000" w:type="pct"/>
            <w:vAlign w:val="center"/>
          </w:tcPr>
          <w:p w14:paraId="69E674A5" w14:textId="77777777" w:rsidR="00BA797F" w:rsidRDefault="00000000">
            <w:r>
              <w:rPr>
                <w:b/>
              </w:rPr>
              <w:t>- 91.886,90 €</w:t>
            </w:r>
          </w:p>
        </w:tc>
      </w:tr>
    </w:tbl>
    <w:p w14:paraId="63C4C7F8" w14:textId="77777777" w:rsidR="00BA797F" w:rsidRDefault="00000000">
      <w:r>
        <w:t> </w:t>
      </w:r>
    </w:p>
    <w:p w14:paraId="0F386617" w14:textId="77777777" w:rsidR="00BA797F" w:rsidRDefault="00BA797F"/>
    <w:p w14:paraId="01B1308A" w14:textId="77777777" w:rsidR="00BA797F"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4AA4D1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9FC9BF"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0B4CEC"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92F4D4"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C76AA5" w14:textId="77777777" w:rsidR="00BA797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52F8B6" w14:textId="77777777" w:rsidR="00BA797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1C1D82" w14:textId="77777777" w:rsidR="00BA797F" w:rsidRDefault="00000000">
            <w:pPr>
              <w:keepNext/>
              <w:keepLines/>
              <w:spacing w:after="0" w:line="240" w:lineRule="auto"/>
              <w:jc w:val="center"/>
            </w:pPr>
            <w:r>
              <w:rPr>
                <w:b/>
                <w:sz w:val="18"/>
              </w:rPr>
              <w:t>Indeks (%)</w:t>
            </w:r>
          </w:p>
        </w:tc>
      </w:tr>
      <w:tr w:rsidR="00BA797F" w14:paraId="49AD6F47" w14:textId="77777777">
        <w:tblPrEx>
          <w:tblCellMar>
            <w:top w:w="0" w:type="dxa"/>
            <w:bottom w:w="0" w:type="dxa"/>
          </w:tblCellMar>
        </w:tblPrEx>
        <w:trPr>
          <w:cantSplit/>
          <w:trHeight w:val="560"/>
        </w:trPr>
        <w:tc>
          <w:tcPr>
            <w:tcW w:w="700" w:type="dxa"/>
            <w:tcMar>
              <w:top w:w="0" w:type="dxa"/>
              <w:bottom w:w="0" w:type="dxa"/>
            </w:tcMar>
            <w:vAlign w:val="center"/>
          </w:tcPr>
          <w:p w14:paraId="2FFF59D6" w14:textId="77777777" w:rsidR="00BA797F" w:rsidRDefault="00000000">
            <w:pPr>
              <w:keepNext/>
              <w:keepLines/>
              <w:spacing w:after="0" w:line="240" w:lineRule="auto"/>
            </w:pPr>
            <w:r>
              <w:rPr>
                <w:sz w:val="18"/>
              </w:rPr>
              <w:t>dio 16</w:t>
            </w:r>
          </w:p>
        </w:tc>
        <w:tc>
          <w:tcPr>
            <w:tcW w:w="3180" w:type="dxa"/>
            <w:tcMar>
              <w:top w:w="0" w:type="dxa"/>
              <w:bottom w:w="0" w:type="dxa"/>
            </w:tcMar>
            <w:vAlign w:val="center"/>
          </w:tcPr>
          <w:p w14:paraId="722623CE" w14:textId="77777777" w:rsidR="00BA797F" w:rsidRDefault="00000000">
            <w:pPr>
              <w:keepNext/>
              <w:keepLines/>
              <w:spacing w:after="0" w:line="240" w:lineRule="auto"/>
            </w:pPr>
            <w:r>
              <w:rPr>
                <w:sz w:val="18"/>
              </w:rPr>
              <w:t>Potraživanja za prihode poslovanja - dospjela</w:t>
            </w:r>
          </w:p>
        </w:tc>
        <w:tc>
          <w:tcPr>
            <w:tcW w:w="700" w:type="dxa"/>
            <w:tcMar>
              <w:top w:w="0" w:type="dxa"/>
              <w:bottom w:w="0" w:type="dxa"/>
            </w:tcMar>
            <w:vAlign w:val="center"/>
          </w:tcPr>
          <w:p w14:paraId="3C389776" w14:textId="77777777" w:rsidR="00BA797F" w:rsidRDefault="00000000">
            <w:pPr>
              <w:keepNext/>
              <w:keepLines/>
              <w:spacing w:after="0" w:line="240" w:lineRule="auto"/>
            </w:pPr>
            <w:r>
              <w:rPr>
                <w:sz w:val="18"/>
              </w:rPr>
              <w:t>dio 16 D</w:t>
            </w:r>
          </w:p>
        </w:tc>
        <w:tc>
          <w:tcPr>
            <w:tcW w:w="1860" w:type="dxa"/>
            <w:tcMar>
              <w:top w:w="0" w:type="dxa"/>
              <w:bottom w:w="0" w:type="dxa"/>
            </w:tcMar>
            <w:vAlign w:val="center"/>
          </w:tcPr>
          <w:p w14:paraId="62176CFF" w14:textId="77777777" w:rsidR="00BA797F" w:rsidRDefault="00000000">
            <w:pPr>
              <w:keepNext/>
              <w:keepLines/>
              <w:spacing w:after="0" w:line="240" w:lineRule="auto"/>
              <w:jc w:val="right"/>
            </w:pPr>
            <w:r>
              <w:rPr>
                <w:sz w:val="18"/>
              </w:rPr>
              <w:t>0,00</w:t>
            </w:r>
          </w:p>
        </w:tc>
        <w:tc>
          <w:tcPr>
            <w:tcW w:w="1860" w:type="dxa"/>
            <w:tcMar>
              <w:top w:w="0" w:type="dxa"/>
              <w:bottom w:w="0" w:type="dxa"/>
            </w:tcMar>
            <w:vAlign w:val="center"/>
          </w:tcPr>
          <w:p w14:paraId="37BD5864" w14:textId="77777777" w:rsidR="00BA797F" w:rsidRDefault="00000000">
            <w:pPr>
              <w:keepNext/>
              <w:keepLines/>
              <w:spacing w:after="0" w:line="240" w:lineRule="auto"/>
              <w:jc w:val="right"/>
            </w:pPr>
            <w:r>
              <w:rPr>
                <w:sz w:val="18"/>
              </w:rPr>
              <w:t>768,12</w:t>
            </w:r>
          </w:p>
        </w:tc>
        <w:tc>
          <w:tcPr>
            <w:tcW w:w="700" w:type="dxa"/>
            <w:tcMar>
              <w:top w:w="0" w:type="dxa"/>
              <w:bottom w:w="0" w:type="dxa"/>
            </w:tcMar>
            <w:vAlign w:val="center"/>
          </w:tcPr>
          <w:p w14:paraId="75F4C16D" w14:textId="77777777" w:rsidR="00BA797F" w:rsidRDefault="00000000">
            <w:pPr>
              <w:keepNext/>
              <w:keepLines/>
              <w:spacing w:after="0" w:line="240" w:lineRule="auto"/>
              <w:jc w:val="right"/>
            </w:pPr>
            <w:r>
              <w:rPr>
                <w:sz w:val="18"/>
              </w:rPr>
              <w:t>-</w:t>
            </w:r>
          </w:p>
        </w:tc>
      </w:tr>
    </w:tbl>
    <w:p w14:paraId="1D92DA3A" w14:textId="77777777" w:rsidR="00BA797F" w:rsidRDefault="00BA797F">
      <w:pPr>
        <w:spacing w:after="0"/>
      </w:pPr>
    </w:p>
    <w:p w14:paraId="25CA97F9" w14:textId="77777777" w:rsidR="00BA797F" w:rsidRDefault="00000000">
      <w:r>
        <w:t>Potraživanja za prihode poslovanja - dospjela, odnose se na refundacije za režijske troškove na lokaciji Kneza Mislava 18 a temeljem Sporazuma o raspodjeli troškova režija.</w:t>
      </w:r>
    </w:p>
    <w:p w14:paraId="6834E812" w14:textId="77777777" w:rsidR="00BA797F" w:rsidRDefault="00BA797F"/>
    <w:p w14:paraId="50B7F8B8" w14:textId="77777777" w:rsidR="00BA797F" w:rsidRDefault="00000000">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21C124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CD8030"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BB8702"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371BD6"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33BEDA" w14:textId="77777777" w:rsidR="00BA797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2D906E" w14:textId="77777777" w:rsidR="00BA797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0AA0A1" w14:textId="77777777" w:rsidR="00BA797F" w:rsidRDefault="00000000">
            <w:pPr>
              <w:keepNext/>
              <w:keepLines/>
              <w:spacing w:after="0" w:line="240" w:lineRule="auto"/>
              <w:jc w:val="center"/>
            </w:pPr>
            <w:r>
              <w:rPr>
                <w:b/>
                <w:sz w:val="18"/>
              </w:rPr>
              <w:t>Indeks (%)</w:t>
            </w:r>
          </w:p>
        </w:tc>
      </w:tr>
      <w:tr w:rsidR="00BA797F" w14:paraId="71DD124C" w14:textId="77777777">
        <w:tblPrEx>
          <w:tblCellMar>
            <w:top w:w="0" w:type="dxa"/>
            <w:bottom w:w="0" w:type="dxa"/>
          </w:tblCellMar>
        </w:tblPrEx>
        <w:trPr>
          <w:cantSplit/>
          <w:trHeight w:val="560"/>
        </w:trPr>
        <w:tc>
          <w:tcPr>
            <w:tcW w:w="700" w:type="dxa"/>
            <w:tcMar>
              <w:top w:w="0" w:type="dxa"/>
              <w:bottom w:w="0" w:type="dxa"/>
            </w:tcMar>
            <w:vAlign w:val="center"/>
          </w:tcPr>
          <w:p w14:paraId="09918961" w14:textId="77777777" w:rsidR="00BA797F" w:rsidRDefault="00000000">
            <w:pPr>
              <w:keepNext/>
              <w:keepLines/>
              <w:spacing w:after="0" w:line="240" w:lineRule="auto"/>
            </w:pPr>
            <w:r>
              <w:rPr>
                <w:sz w:val="18"/>
              </w:rPr>
              <w:t>dio 16</w:t>
            </w:r>
          </w:p>
        </w:tc>
        <w:tc>
          <w:tcPr>
            <w:tcW w:w="3180" w:type="dxa"/>
            <w:tcMar>
              <w:top w:w="0" w:type="dxa"/>
              <w:bottom w:w="0" w:type="dxa"/>
            </w:tcMar>
            <w:vAlign w:val="center"/>
          </w:tcPr>
          <w:p w14:paraId="2F50029D" w14:textId="77777777" w:rsidR="00BA797F"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2B81199A" w14:textId="77777777" w:rsidR="00BA797F" w:rsidRDefault="00000000">
            <w:pPr>
              <w:keepNext/>
              <w:keepLines/>
              <w:spacing w:after="0" w:line="240" w:lineRule="auto"/>
            </w:pPr>
            <w:r>
              <w:rPr>
                <w:sz w:val="18"/>
              </w:rPr>
              <w:t>dio 16 N</w:t>
            </w:r>
          </w:p>
        </w:tc>
        <w:tc>
          <w:tcPr>
            <w:tcW w:w="1860" w:type="dxa"/>
            <w:tcMar>
              <w:top w:w="0" w:type="dxa"/>
              <w:bottom w:w="0" w:type="dxa"/>
            </w:tcMar>
            <w:vAlign w:val="center"/>
          </w:tcPr>
          <w:p w14:paraId="12BFF740" w14:textId="77777777" w:rsidR="00BA797F" w:rsidRDefault="00000000">
            <w:pPr>
              <w:keepNext/>
              <w:keepLines/>
              <w:spacing w:after="0" w:line="240" w:lineRule="auto"/>
              <w:jc w:val="right"/>
            </w:pPr>
            <w:r>
              <w:rPr>
                <w:sz w:val="18"/>
              </w:rPr>
              <w:t>4.438,89</w:t>
            </w:r>
          </w:p>
        </w:tc>
        <w:tc>
          <w:tcPr>
            <w:tcW w:w="1860" w:type="dxa"/>
            <w:tcMar>
              <w:top w:w="0" w:type="dxa"/>
              <w:bottom w:w="0" w:type="dxa"/>
            </w:tcMar>
            <w:vAlign w:val="center"/>
          </w:tcPr>
          <w:p w14:paraId="697CFE9B" w14:textId="77777777" w:rsidR="00BA797F" w:rsidRDefault="00000000">
            <w:pPr>
              <w:keepNext/>
              <w:keepLines/>
              <w:spacing w:after="0" w:line="240" w:lineRule="auto"/>
              <w:jc w:val="right"/>
            </w:pPr>
            <w:r>
              <w:rPr>
                <w:sz w:val="18"/>
              </w:rPr>
              <w:t>1.733,36</w:t>
            </w:r>
          </w:p>
        </w:tc>
        <w:tc>
          <w:tcPr>
            <w:tcW w:w="700" w:type="dxa"/>
            <w:tcMar>
              <w:top w:w="0" w:type="dxa"/>
              <w:bottom w:w="0" w:type="dxa"/>
            </w:tcMar>
            <w:vAlign w:val="center"/>
          </w:tcPr>
          <w:p w14:paraId="7B406E86" w14:textId="77777777" w:rsidR="00BA797F" w:rsidRDefault="00000000">
            <w:pPr>
              <w:keepNext/>
              <w:keepLines/>
              <w:spacing w:after="0" w:line="240" w:lineRule="auto"/>
              <w:jc w:val="right"/>
            </w:pPr>
            <w:r>
              <w:rPr>
                <w:sz w:val="18"/>
              </w:rPr>
              <w:t>39,0</w:t>
            </w:r>
          </w:p>
        </w:tc>
      </w:tr>
    </w:tbl>
    <w:p w14:paraId="4913E51F" w14:textId="77777777" w:rsidR="00BA797F" w:rsidRDefault="00BA797F">
      <w:pPr>
        <w:spacing w:after="0"/>
      </w:pPr>
    </w:p>
    <w:p w14:paraId="1B49A550" w14:textId="77777777" w:rsidR="00BA797F" w:rsidRDefault="00000000">
      <w:r>
        <w:t xml:space="preserve">Nedospjela potraživanja od </w:t>
      </w:r>
      <w:r>
        <w:rPr>
          <w:b/>
        </w:rPr>
        <w:t>1.733,36€</w:t>
      </w:r>
      <w:r>
        <w:t xml:space="preserve"> odnose se na potraživanje zadnje rate temeljem Ugovora - Erasmus+ s agencijom AMPEU na temelju prihvaćenog izvještaja, režijskih troškova na adresi Kneza Mislava 18 i vlastitih prihoda.</w:t>
      </w:r>
    </w:p>
    <w:p w14:paraId="7357B9BD" w14:textId="77777777" w:rsidR="00BA797F" w:rsidRDefault="00BA797F"/>
    <w:p w14:paraId="077D7309" w14:textId="77777777" w:rsidR="00BA797F"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7FB87D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B2DEFB"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2144A9"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53DC70"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3C94BF" w14:textId="77777777" w:rsidR="00BA797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2337FB" w14:textId="77777777" w:rsidR="00BA797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2774CC" w14:textId="77777777" w:rsidR="00BA797F" w:rsidRDefault="00000000">
            <w:pPr>
              <w:keepNext/>
              <w:keepLines/>
              <w:spacing w:after="0" w:line="240" w:lineRule="auto"/>
              <w:jc w:val="center"/>
            </w:pPr>
            <w:r>
              <w:rPr>
                <w:b/>
                <w:sz w:val="18"/>
              </w:rPr>
              <w:t>Indeks (%)</w:t>
            </w:r>
          </w:p>
        </w:tc>
      </w:tr>
      <w:tr w:rsidR="00BA797F" w14:paraId="60F6E702" w14:textId="77777777">
        <w:tblPrEx>
          <w:tblCellMar>
            <w:top w:w="0" w:type="dxa"/>
            <w:bottom w:w="0" w:type="dxa"/>
          </w:tblCellMar>
        </w:tblPrEx>
        <w:trPr>
          <w:cantSplit/>
          <w:trHeight w:val="560"/>
        </w:trPr>
        <w:tc>
          <w:tcPr>
            <w:tcW w:w="700" w:type="dxa"/>
            <w:tcMar>
              <w:top w:w="0" w:type="dxa"/>
              <w:bottom w:w="0" w:type="dxa"/>
            </w:tcMar>
            <w:vAlign w:val="center"/>
          </w:tcPr>
          <w:p w14:paraId="63A2CF8A" w14:textId="77777777" w:rsidR="00BA797F" w:rsidRDefault="00000000">
            <w:pPr>
              <w:keepNext/>
              <w:keepLines/>
              <w:spacing w:after="0" w:line="240" w:lineRule="auto"/>
            </w:pPr>
            <w:r>
              <w:rPr>
                <w:sz w:val="18"/>
              </w:rPr>
              <w:t>12912</w:t>
            </w:r>
          </w:p>
        </w:tc>
        <w:tc>
          <w:tcPr>
            <w:tcW w:w="3180" w:type="dxa"/>
            <w:tcMar>
              <w:top w:w="0" w:type="dxa"/>
              <w:bottom w:w="0" w:type="dxa"/>
            </w:tcMar>
            <w:vAlign w:val="center"/>
          </w:tcPr>
          <w:p w14:paraId="7800BD5E" w14:textId="77777777" w:rsidR="00BA797F" w:rsidRDefault="00000000">
            <w:pPr>
              <w:keepNext/>
              <w:keepLines/>
              <w:spacing w:after="0" w:line="240" w:lineRule="auto"/>
            </w:pPr>
            <w:r>
              <w:rPr>
                <w:sz w:val="18"/>
              </w:rPr>
              <w:t>Potraživanja za predujmove</w:t>
            </w:r>
          </w:p>
        </w:tc>
        <w:tc>
          <w:tcPr>
            <w:tcW w:w="700" w:type="dxa"/>
            <w:tcMar>
              <w:top w:w="0" w:type="dxa"/>
              <w:bottom w:w="0" w:type="dxa"/>
            </w:tcMar>
            <w:vAlign w:val="center"/>
          </w:tcPr>
          <w:p w14:paraId="4F6DAFFD" w14:textId="77777777" w:rsidR="00BA797F" w:rsidRDefault="00000000">
            <w:pPr>
              <w:keepNext/>
              <w:keepLines/>
              <w:spacing w:after="0" w:line="240" w:lineRule="auto"/>
            </w:pPr>
            <w:r>
              <w:rPr>
                <w:sz w:val="18"/>
              </w:rPr>
              <w:t>12912</w:t>
            </w:r>
          </w:p>
        </w:tc>
        <w:tc>
          <w:tcPr>
            <w:tcW w:w="1860" w:type="dxa"/>
            <w:tcMar>
              <w:top w:w="0" w:type="dxa"/>
              <w:bottom w:w="0" w:type="dxa"/>
            </w:tcMar>
            <w:vAlign w:val="center"/>
          </w:tcPr>
          <w:p w14:paraId="3E056C07" w14:textId="77777777" w:rsidR="00BA797F" w:rsidRDefault="00000000">
            <w:pPr>
              <w:keepNext/>
              <w:keepLines/>
              <w:spacing w:after="0" w:line="240" w:lineRule="auto"/>
              <w:jc w:val="right"/>
            </w:pPr>
            <w:r>
              <w:rPr>
                <w:sz w:val="18"/>
              </w:rPr>
              <w:t>0,00</w:t>
            </w:r>
          </w:p>
        </w:tc>
        <w:tc>
          <w:tcPr>
            <w:tcW w:w="1860" w:type="dxa"/>
            <w:tcMar>
              <w:top w:w="0" w:type="dxa"/>
              <w:bottom w:w="0" w:type="dxa"/>
            </w:tcMar>
            <w:vAlign w:val="center"/>
          </w:tcPr>
          <w:p w14:paraId="710E30B1" w14:textId="77777777" w:rsidR="00BA797F" w:rsidRDefault="00000000">
            <w:pPr>
              <w:keepNext/>
              <w:keepLines/>
              <w:spacing w:after="0" w:line="240" w:lineRule="auto"/>
              <w:jc w:val="right"/>
            </w:pPr>
            <w:r>
              <w:rPr>
                <w:sz w:val="18"/>
              </w:rPr>
              <w:t>275,00</w:t>
            </w:r>
          </w:p>
        </w:tc>
        <w:tc>
          <w:tcPr>
            <w:tcW w:w="700" w:type="dxa"/>
            <w:tcMar>
              <w:top w:w="0" w:type="dxa"/>
              <w:bottom w:w="0" w:type="dxa"/>
            </w:tcMar>
            <w:vAlign w:val="center"/>
          </w:tcPr>
          <w:p w14:paraId="486EE292" w14:textId="77777777" w:rsidR="00BA797F" w:rsidRDefault="00000000">
            <w:pPr>
              <w:keepNext/>
              <w:keepLines/>
              <w:spacing w:after="0" w:line="240" w:lineRule="auto"/>
              <w:jc w:val="right"/>
            </w:pPr>
            <w:r>
              <w:rPr>
                <w:sz w:val="18"/>
              </w:rPr>
              <w:t>-</w:t>
            </w:r>
          </w:p>
        </w:tc>
      </w:tr>
    </w:tbl>
    <w:p w14:paraId="7B092E1C" w14:textId="77777777" w:rsidR="00BA797F" w:rsidRDefault="00BA797F">
      <w:pPr>
        <w:spacing w:after="0"/>
      </w:pPr>
    </w:p>
    <w:p w14:paraId="2A3AE813" w14:textId="77777777" w:rsidR="00BA797F" w:rsidRDefault="00000000">
      <w:r>
        <w:t xml:space="preserve">Na potraživanjima za predujmove u iznosu od  </w:t>
      </w:r>
      <w:r>
        <w:rPr>
          <w:b/>
        </w:rPr>
        <w:t xml:space="preserve">275,00 eura </w:t>
      </w:r>
      <w:r>
        <w:t>unaprijed je plaćena stručna literatura za koju je račun pristigao u 2026. godini.</w:t>
      </w:r>
    </w:p>
    <w:p w14:paraId="30E5FD24" w14:textId="77777777" w:rsidR="00BA797F" w:rsidRDefault="00BA797F"/>
    <w:p w14:paraId="022D1890" w14:textId="77777777" w:rsidR="00BA797F"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5BA9D0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13EE8F"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B397CD"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D378A0"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C7745B" w14:textId="77777777" w:rsidR="00BA797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C7A5FF" w14:textId="77777777" w:rsidR="00BA797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37E06E" w14:textId="77777777" w:rsidR="00BA797F" w:rsidRDefault="00000000">
            <w:pPr>
              <w:keepNext/>
              <w:keepLines/>
              <w:spacing w:after="0" w:line="240" w:lineRule="auto"/>
              <w:jc w:val="center"/>
            </w:pPr>
            <w:r>
              <w:rPr>
                <w:b/>
                <w:sz w:val="18"/>
              </w:rPr>
              <w:t>Indeks (%)</w:t>
            </w:r>
          </w:p>
        </w:tc>
      </w:tr>
      <w:tr w:rsidR="00BA797F" w14:paraId="5755C1E4" w14:textId="77777777">
        <w:tblPrEx>
          <w:tblCellMar>
            <w:top w:w="0" w:type="dxa"/>
            <w:bottom w:w="0" w:type="dxa"/>
          </w:tblCellMar>
        </w:tblPrEx>
        <w:trPr>
          <w:cantSplit/>
          <w:trHeight w:val="560"/>
        </w:trPr>
        <w:tc>
          <w:tcPr>
            <w:tcW w:w="700" w:type="dxa"/>
            <w:tcMar>
              <w:top w:w="0" w:type="dxa"/>
              <w:bottom w:w="0" w:type="dxa"/>
            </w:tcMar>
            <w:vAlign w:val="center"/>
          </w:tcPr>
          <w:p w14:paraId="1C9E5DE2" w14:textId="77777777" w:rsidR="00BA797F" w:rsidRDefault="00000000">
            <w:pPr>
              <w:keepNext/>
              <w:keepLines/>
              <w:spacing w:after="0" w:line="240" w:lineRule="auto"/>
            </w:pPr>
            <w:r>
              <w:rPr>
                <w:sz w:val="18"/>
              </w:rPr>
              <w:t>dio 23</w:t>
            </w:r>
          </w:p>
        </w:tc>
        <w:tc>
          <w:tcPr>
            <w:tcW w:w="3180" w:type="dxa"/>
            <w:tcMar>
              <w:top w:w="0" w:type="dxa"/>
              <w:bottom w:w="0" w:type="dxa"/>
            </w:tcMar>
            <w:vAlign w:val="center"/>
          </w:tcPr>
          <w:p w14:paraId="02846991" w14:textId="77777777" w:rsidR="00BA797F" w:rsidRDefault="00000000">
            <w:pPr>
              <w:keepNext/>
              <w:keepLines/>
              <w:spacing w:after="0" w:line="240" w:lineRule="auto"/>
            </w:pPr>
            <w:r>
              <w:rPr>
                <w:sz w:val="18"/>
              </w:rPr>
              <w:t>Obveze za rashode poslovanja - dospjele</w:t>
            </w:r>
          </w:p>
        </w:tc>
        <w:tc>
          <w:tcPr>
            <w:tcW w:w="700" w:type="dxa"/>
            <w:tcMar>
              <w:top w:w="0" w:type="dxa"/>
              <w:bottom w:w="0" w:type="dxa"/>
            </w:tcMar>
            <w:vAlign w:val="center"/>
          </w:tcPr>
          <w:p w14:paraId="2CD29793" w14:textId="77777777" w:rsidR="00BA797F" w:rsidRDefault="00000000">
            <w:pPr>
              <w:keepNext/>
              <w:keepLines/>
              <w:spacing w:after="0" w:line="240" w:lineRule="auto"/>
            </w:pPr>
            <w:r>
              <w:rPr>
                <w:sz w:val="18"/>
              </w:rPr>
              <w:t>dio 23 D</w:t>
            </w:r>
          </w:p>
        </w:tc>
        <w:tc>
          <w:tcPr>
            <w:tcW w:w="1860" w:type="dxa"/>
            <w:tcMar>
              <w:top w:w="0" w:type="dxa"/>
              <w:bottom w:w="0" w:type="dxa"/>
            </w:tcMar>
            <w:vAlign w:val="center"/>
          </w:tcPr>
          <w:p w14:paraId="260DA937" w14:textId="77777777" w:rsidR="00BA797F" w:rsidRDefault="00000000">
            <w:pPr>
              <w:keepNext/>
              <w:keepLines/>
              <w:spacing w:after="0" w:line="240" w:lineRule="auto"/>
              <w:jc w:val="right"/>
            </w:pPr>
            <w:r>
              <w:rPr>
                <w:sz w:val="18"/>
              </w:rPr>
              <w:t>6.690,81</w:t>
            </w:r>
          </w:p>
        </w:tc>
        <w:tc>
          <w:tcPr>
            <w:tcW w:w="1860" w:type="dxa"/>
            <w:tcMar>
              <w:top w:w="0" w:type="dxa"/>
              <w:bottom w:w="0" w:type="dxa"/>
            </w:tcMar>
            <w:vAlign w:val="center"/>
          </w:tcPr>
          <w:p w14:paraId="7521600B" w14:textId="77777777" w:rsidR="00BA797F" w:rsidRDefault="00000000">
            <w:pPr>
              <w:keepNext/>
              <w:keepLines/>
              <w:spacing w:after="0" w:line="240" w:lineRule="auto"/>
              <w:jc w:val="right"/>
            </w:pPr>
            <w:r>
              <w:rPr>
                <w:sz w:val="18"/>
              </w:rPr>
              <w:t>198,13</w:t>
            </w:r>
          </w:p>
        </w:tc>
        <w:tc>
          <w:tcPr>
            <w:tcW w:w="700" w:type="dxa"/>
            <w:tcMar>
              <w:top w:w="0" w:type="dxa"/>
              <w:bottom w:w="0" w:type="dxa"/>
            </w:tcMar>
            <w:vAlign w:val="center"/>
          </w:tcPr>
          <w:p w14:paraId="1C6E87A0" w14:textId="77777777" w:rsidR="00BA797F" w:rsidRDefault="00000000">
            <w:pPr>
              <w:keepNext/>
              <w:keepLines/>
              <w:spacing w:after="0" w:line="240" w:lineRule="auto"/>
              <w:jc w:val="right"/>
            </w:pPr>
            <w:r>
              <w:rPr>
                <w:sz w:val="18"/>
              </w:rPr>
              <w:t>3,0</w:t>
            </w:r>
          </w:p>
        </w:tc>
      </w:tr>
    </w:tbl>
    <w:p w14:paraId="0FFC2D96" w14:textId="77777777" w:rsidR="00BA797F" w:rsidRDefault="00BA797F">
      <w:pPr>
        <w:spacing w:after="0"/>
      </w:pPr>
    </w:p>
    <w:p w14:paraId="586D7A3B" w14:textId="77777777" w:rsidR="00BA797F" w:rsidRDefault="00000000">
      <w:r>
        <w:t xml:space="preserve">Dospjele obveze od </w:t>
      </w:r>
      <w:r>
        <w:rPr>
          <w:b/>
        </w:rPr>
        <w:t>198,13 €</w:t>
      </w:r>
      <w:r>
        <w:t xml:space="preserve"> za rashode odnose se na račune Gradskog ureda za prostorno uređenje za komunalnu i vodnu naknadu koja je za studeni poslana nakon pristiglih računa za prosinac.</w:t>
      </w:r>
    </w:p>
    <w:p w14:paraId="7AF6FFBF" w14:textId="77777777" w:rsidR="00BA797F" w:rsidRDefault="00BA797F"/>
    <w:p w14:paraId="70BE4C2D" w14:textId="77777777" w:rsidR="00BA797F"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15E9B6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7D5C0C"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412263"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D0E444"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D1D64D" w14:textId="77777777" w:rsidR="00BA797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171A65" w14:textId="77777777" w:rsidR="00BA797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5C670B" w14:textId="77777777" w:rsidR="00BA797F" w:rsidRDefault="00000000">
            <w:pPr>
              <w:keepNext/>
              <w:keepLines/>
              <w:spacing w:after="0" w:line="240" w:lineRule="auto"/>
              <w:jc w:val="center"/>
            </w:pPr>
            <w:r>
              <w:rPr>
                <w:b/>
                <w:sz w:val="18"/>
              </w:rPr>
              <w:t>Indeks (%)</w:t>
            </w:r>
          </w:p>
        </w:tc>
      </w:tr>
      <w:tr w:rsidR="00BA797F" w14:paraId="53B99460" w14:textId="77777777">
        <w:tblPrEx>
          <w:tblCellMar>
            <w:top w:w="0" w:type="dxa"/>
            <w:bottom w:w="0" w:type="dxa"/>
          </w:tblCellMar>
        </w:tblPrEx>
        <w:trPr>
          <w:cantSplit/>
          <w:trHeight w:val="560"/>
        </w:trPr>
        <w:tc>
          <w:tcPr>
            <w:tcW w:w="700" w:type="dxa"/>
            <w:tcMar>
              <w:top w:w="0" w:type="dxa"/>
              <w:bottom w:w="0" w:type="dxa"/>
            </w:tcMar>
            <w:vAlign w:val="center"/>
          </w:tcPr>
          <w:p w14:paraId="41F86097" w14:textId="77777777" w:rsidR="00BA797F" w:rsidRDefault="00000000">
            <w:pPr>
              <w:keepNext/>
              <w:keepLines/>
              <w:spacing w:after="0" w:line="240" w:lineRule="auto"/>
            </w:pPr>
            <w:r>
              <w:rPr>
                <w:sz w:val="18"/>
              </w:rPr>
              <w:t>dio 23</w:t>
            </w:r>
          </w:p>
        </w:tc>
        <w:tc>
          <w:tcPr>
            <w:tcW w:w="3180" w:type="dxa"/>
            <w:tcMar>
              <w:top w:w="0" w:type="dxa"/>
              <w:bottom w:w="0" w:type="dxa"/>
            </w:tcMar>
            <w:vAlign w:val="center"/>
          </w:tcPr>
          <w:p w14:paraId="709E4FFA" w14:textId="77777777" w:rsidR="00BA797F"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046F22D5" w14:textId="77777777" w:rsidR="00BA797F" w:rsidRDefault="00000000">
            <w:pPr>
              <w:keepNext/>
              <w:keepLines/>
              <w:spacing w:after="0" w:line="240" w:lineRule="auto"/>
            </w:pPr>
            <w:r>
              <w:rPr>
                <w:sz w:val="18"/>
              </w:rPr>
              <w:t>dio 23 N</w:t>
            </w:r>
          </w:p>
        </w:tc>
        <w:tc>
          <w:tcPr>
            <w:tcW w:w="1860" w:type="dxa"/>
            <w:tcMar>
              <w:top w:w="0" w:type="dxa"/>
              <w:bottom w:w="0" w:type="dxa"/>
            </w:tcMar>
            <w:vAlign w:val="center"/>
          </w:tcPr>
          <w:p w14:paraId="36980658" w14:textId="77777777" w:rsidR="00BA797F" w:rsidRDefault="00000000">
            <w:pPr>
              <w:keepNext/>
              <w:keepLines/>
              <w:spacing w:after="0" w:line="240" w:lineRule="auto"/>
              <w:jc w:val="right"/>
            </w:pPr>
            <w:r>
              <w:rPr>
                <w:sz w:val="18"/>
              </w:rPr>
              <w:t>97.392,23</w:t>
            </w:r>
          </w:p>
        </w:tc>
        <w:tc>
          <w:tcPr>
            <w:tcW w:w="1860" w:type="dxa"/>
            <w:tcMar>
              <w:top w:w="0" w:type="dxa"/>
              <w:bottom w:w="0" w:type="dxa"/>
            </w:tcMar>
            <w:vAlign w:val="center"/>
          </w:tcPr>
          <w:p w14:paraId="013823F5" w14:textId="77777777" w:rsidR="00BA797F" w:rsidRDefault="00000000">
            <w:pPr>
              <w:keepNext/>
              <w:keepLines/>
              <w:spacing w:after="0" w:line="240" w:lineRule="auto"/>
              <w:jc w:val="right"/>
            </w:pPr>
            <w:r>
              <w:rPr>
                <w:sz w:val="18"/>
              </w:rPr>
              <w:t>74.705,33</w:t>
            </w:r>
          </w:p>
        </w:tc>
        <w:tc>
          <w:tcPr>
            <w:tcW w:w="700" w:type="dxa"/>
            <w:tcMar>
              <w:top w:w="0" w:type="dxa"/>
              <w:bottom w:w="0" w:type="dxa"/>
            </w:tcMar>
            <w:vAlign w:val="center"/>
          </w:tcPr>
          <w:p w14:paraId="61C81424" w14:textId="77777777" w:rsidR="00BA797F" w:rsidRDefault="00000000">
            <w:pPr>
              <w:keepNext/>
              <w:keepLines/>
              <w:spacing w:after="0" w:line="240" w:lineRule="auto"/>
              <w:jc w:val="right"/>
            </w:pPr>
            <w:r>
              <w:rPr>
                <w:sz w:val="18"/>
              </w:rPr>
              <w:t>76,7</w:t>
            </w:r>
          </w:p>
        </w:tc>
      </w:tr>
    </w:tbl>
    <w:p w14:paraId="117E1061" w14:textId="77777777" w:rsidR="00BA797F" w:rsidRDefault="00BA797F">
      <w:pPr>
        <w:spacing w:after="0"/>
      </w:pPr>
    </w:p>
    <w:p w14:paraId="2C470320" w14:textId="77777777" w:rsidR="00BA797F" w:rsidRDefault="00000000">
      <w:r>
        <w:t>Sve obveze nedospjele i dospjele 31.12.2025., u potpunosti su podmirene do 30.01.2026.godine</w:t>
      </w:r>
    </w:p>
    <w:p w14:paraId="3B4FAAB5" w14:textId="77777777" w:rsidR="00BA797F" w:rsidRDefault="00BA797F"/>
    <w:p w14:paraId="7A54B18D" w14:textId="77777777" w:rsidR="00BA797F" w:rsidRDefault="00000000">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50D95F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2C5939"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67A1DF"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B9AA65"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CAE259" w14:textId="77777777" w:rsidR="00BA797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5A3B57" w14:textId="77777777" w:rsidR="00BA797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A32544" w14:textId="77777777" w:rsidR="00BA797F" w:rsidRDefault="00000000">
            <w:pPr>
              <w:keepNext/>
              <w:keepLines/>
              <w:spacing w:after="0" w:line="240" w:lineRule="auto"/>
              <w:jc w:val="center"/>
            </w:pPr>
            <w:r>
              <w:rPr>
                <w:b/>
                <w:sz w:val="18"/>
              </w:rPr>
              <w:t>Indeks (%)</w:t>
            </w:r>
          </w:p>
        </w:tc>
      </w:tr>
      <w:tr w:rsidR="00BA797F" w14:paraId="36228608" w14:textId="77777777">
        <w:tblPrEx>
          <w:tblCellMar>
            <w:top w:w="0" w:type="dxa"/>
            <w:bottom w:w="0" w:type="dxa"/>
          </w:tblCellMar>
        </w:tblPrEx>
        <w:trPr>
          <w:cantSplit/>
          <w:trHeight w:val="560"/>
        </w:trPr>
        <w:tc>
          <w:tcPr>
            <w:tcW w:w="700" w:type="dxa"/>
            <w:tcMar>
              <w:top w:w="0" w:type="dxa"/>
              <w:bottom w:w="0" w:type="dxa"/>
            </w:tcMar>
            <w:vAlign w:val="center"/>
          </w:tcPr>
          <w:p w14:paraId="3E210650" w14:textId="77777777" w:rsidR="00BA797F" w:rsidRDefault="00000000">
            <w:pPr>
              <w:keepNext/>
              <w:keepLines/>
              <w:spacing w:after="0" w:line="240" w:lineRule="auto"/>
            </w:pPr>
            <w:r>
              <w:rPr>
                <w:sz w:val="18"/>
              </w:rPr>
              <w:t>27611</w:t>
            </w:r>
          </w:p>
        </w:tc>
        <w:tc>
          <w:tcPr>
            <w:tcW w:w="3180" w:type="dxa"/>
            <w:tcMar>
              <w:top w:w="0" w:type="dxa"/>
              <w:bottom w:w="0" w:type="dxa"/>
            </w:tcMar>
            <w:vAlign w:val="center"/>
          </w:tcPr>
          <w:p w14:paraId="13FBFD90" w14:textId="77777777" w:rsidR="00BA797F" w:rsidRDefault="00000000">
            <w:pPr>
              <w:keepNext/>
              <w:keepLines/>
              <w:spacing w:after="0" w:line="240" w:lineRule="auto"/>
            </w:pPr>
            <w:r>
              <w:rPr>
                <w:sz w:val="18"/>
              </w:rPr>
              <w:t>Obveze proračunskih korisnika za povrat u proračun</w:t>
            </w:r>
          </w:p>
        </w:tc>
        <w:tc>
          <w:tcPr>
            <w:tcW w:w="700" w:type="dxa"/>
            <w:tcMar>
              <w:top w:w="0" w:type="dxa"/>
              <w:bottom w:w="0" w:type="dxa"/>
            </w:tcMar>
            <w:vAlign w:val="center"/>
          </w:tcPr>
          <w:p w14:paraId="453B3044" w14:textId="77777777" w:rsidR="00BA797F" w:rsidRDefault="00000000">
            <w:pPr>
              <w:keepNext/>
              <w:keepLines/>
              <w:spacing w:after="0" w:line="240" w:lineRule="auto"/>
            </w:pPr>
            <w:r>
              <w:rPr>
                <w:sz w:val="18"/>
              </w:rPr>
              <w:t>27611</w:t>
            </w:r>
          </w:p>
        </w:tc>
        <w:tc>
          <w:tcPr>
            <w:tcW w:w="1860" w:type="dxa"/>
            <w:tcMar>
              <w:top w:w="0" w:type="dxa"/>
              <w:bottom w:w="0" w:type="dxa"/>
            </w:tcMar>
            <w:vAlign w:val="center"/>
          </w:tcPr>
          <w:p w14:paraId="0AB767F7" w14:textId="77777777" w:rsidR="00BA797F" w:rsidRDefault="00000000">
            <w:pPr>
              <w:keepNext/>
              <w:keepLines/>
              <w:spacing w:after="0" w:line="240" w:lineRule="auto"/>
              <w:jc w:val="right"/>
            </w:pPr>
            <w:r>
              <w:rPr>
                <w:sz w:val="18"/>
              </w:rPr>
              <w:t>0,00</w:t>
            </w:r>
          </w:p>
        </w:tc>
        <w:tc>
          <w:tcPr>
            <w:tcW w:w="1860" w:type="dxa"/>
            <w:tcMar>
              <w:top w:w="0" w:type="dxa"/>
              <w:bottom w:w="0" w:type="dxa"/>
            </w:tcMar>
            <w:vAlign w:val="center"/>
          </w:tcPr>
          <w:p w14:paraId="391C183E" w14:textId="77777777" w:rsidR="00BA797F" w:rsidRDefault="00000000">
            <w:pPr>
              <w:keepNext/>
              <w:keepLines/>
              <w:spacing w:after="0" w:line="240" w:lineRule="auto"/>
              <w:jc w:val="right"/>
            </w:pPr>
            <w:r>
              <w:rPr>
                <w:sz w:val="18"/>
              </w:rPr>
              <w:t>15.575,31</w:t>
            </w:r>
          </w:p>
        </w:tc>
        <w:tc>
          <w:tcPr>
            <w:tcW w:w="700" w:type="dxa"/>
            <w:tcMar>
              <w:top w:w="0" w:type="dxa"/>
              <w:bottom w:w="0" w:type="dxa"/>
            </w:tcMar>
            <w:vAlign w:val="center"/>
          </w:tcPr>
          <w:p w14:paraId="05DACE21" w14:textId="77777777" w:rsidR="00BA797F" w:rsidRDefault="00000000">
            <w:pPr>
              <w:keepNext/>
              <w:keepLines/>
              <w:spacing w:after="0" w:line="240" w:lineRule="auto"/>
              <w:jc w:val="right"/>
            </w:pPr>
            <w:r>
              <w:rPr>
                <w:sz w:val="18"/>
              </w:rPr>
              <w:t>-</w:t>
            </w:r>
          </w:p>
        </w:tc>
      </w:tr>
    </w:tbl>
    <w:p w14:paraId="657CA3AA" w14:textId="77777777" w:rsidR="00BA797F" w:rsidRDefault="00BA797F">
      <w:pPr>
        <w:spacing w:after="0"/>
      </w:pPr>
    </w:p>
    <w:p w14:paraId="799FAAE3" w14:textId="77777777" w:rsidR="00BA797F" w:rsidRDefault="00000000">
      <w:r>
        <w:t xml:space="preserve">Do 09. veljače 2026. dužni smo vratiti </w:t>
      </w:r>
      <w:r>
        <w:rPr>
          <w:b/>
        </w:rPr>
        <w:t xml:space="preserve">15.575,31 € </w:t>
      </w:r>
      <w:r>
        <w:t>u nadležni proračun temeljem viška nastalog iz bivših godina, a kao posljedicu većeg financiranja tijekom trajanja projekta od strane nadležnog proračuna.</w:t>
      </w:r>
    </w:p>
    <w:p w14:paraId="7D6BC983" w14:textId="77777777" w:rsidR="00BA797F" w:rsidRDefault="00BA797F"/>
    <w:p w14:paraId="2B1E9AF5" w14:textId="77777777" w:rsidR="00BA797F"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6C46FF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2B5FED"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0BE668"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92FF6C"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5D8B54" w14:textId="77777777" w:rsidR="00BA797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B6FF18" w14:textId="77777777" w:rsidR="00BA797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650394" w14:textId="77777777" w:rsidR="00BA797F" w:rsidRDefault="00000000">
            <w:pPr>
              <w:keepNext/>
              <w:keepLines/>
              <w:spacing w:after="0" w:line="240" w:lineRule="auto"/>
              <w:jc w:val="center"/>
            </w:pPr>
            <w:r>
              <w:rPr>
                <w:b/>
                <w:sz w:val="18"/>
              </w:rPr>
              <w:t>Indeks (%)</w:t>
            </w:r>
          </w:p>
        </w:tc>
      </w:tr>
      <w:tr w:rsidR="00BA797F" w14:paraId="0574A629" w14:textId="77777777">
        <w:tblPrEx>
          <w:tblCellMar>
            <w:top w:w="0" w:type="dxa"/>
            <w:bottom w:w="0" w:type="dxa"/>
          </w:tblCellMar>
        </w:tblPrEx>
        <w:trPr>
          <w:cantSplit/>
          <w:trHeight w:val="560"/>
        </w:trPr>
        <w:tc>
          <w:tcPr>
            <w:tcW w:w="700" w:type="dxa"/>
            <w:tcMar>
              <w:top w:w="0" w:type="dxa"/>
              <w:bottom w:w="0" w:type="dxa"/>
            </w:tcMar>
            <w:vAlign w:val="center"/>
          </w:tcPr>
          <w:p w14:paraId="7ACAC764" w14:textId="77777777" w:rsidR="00BA797F" w:rsidRDefault="00000000">
            <w:pPr>
              <w:keepNext/>
              <w:keepLines/>
              <w:spacing w:after="0" w:line="240" w:lineRule="auto"/>
            </w:pPr>
            <w:r>
              <w:rPr>
                <w:sz w:val="18"/>
              </w:rPr>
              <w:t>92224</w:t>
            </w:r>
          </w:p>
        </w:tc>
        <w:tc>
          <w:tcPr>
            <w:tcW w:w="3180" w:type="dxa"/>
            <w:tcMar>
              <w:top w:w="0" w:type="dxa"/>
              <w:bottom w:w="0" w:type="dxa"/>
            </w:tcMar>
            <w:vAlign w:val="center"/>
          </w:tcPr>
          <w:p w14:paraId="50502ECE" w14:textId="77777777" w:rsidR="00BA797F" w:rsidRDefault="00000000">
            <w:pPr>
              <w:keepNext/>
              <w:keepLines/>
              <w:spacing w:after="0" w:line="240" w:lineRule="auto"/>
            </w:pPr>
            <w:r>
              <w:rPr>
                <w:sz w:val="18"/>
              </w:rPr>
              <w:t>Manjak prihoda poslovanja - ispravci iz prethodnih razdoblja</w:t>
            </w:r>
          </w:p>
        </w:tc>
        <w:tc>
          <w:tcPr>
            <w:tcW w:w="700" w:type="dxa"/>
            <w:tcMar>
              <w:top w:w="0" w:type="dxa"/>
              <w:bottom w:w="0" w:type="dxa"/>
            </w:tcMar>
            <w:vAlign w:val="center"/>
          </w:tcPr>
          <w:p w14:paraId="2F2068D5" w14:textId="77777777" w:rsidR="00BA797F" w:rsidRDefault="00000000">
            <w:pPr>
              <w:keepNext/>
              <w:keepLines/>
              <w:spacing w:after="0" w:line="240" w:lineRule="auto"/>
            </w:pPr>
            <w:r>
              <w:rPr>
                <w:sz w:val="18"/>
              </w:rPr>
              <w:t>92224</w:t>
            </w:r>
          </w:p>
        </w:tc>
        <w:tc>
          <w:tcPr>
            <w:tcW w:w="1860" w:type="dxa"/>
            <w:tcMar>
              <w:top w:w="0" w:type="dxa"/>
              <w:bottom w:w="0" w:type="dxa"/>
            </w:tcMar>
            <w:vAlign w:val="center"/>
          </w:tcPr>
          <w:p w14:paraId="09627E9C" w14:textId="77777777" w:rsidR="00BA797F" w:rsidRDefault="00000000">
            <w:pPr>
              <w:keepNext/>
              <w:keepLines/>
              <w:spacing w:after="0" w:line="240" w:lineRule="auto"/>
              <w:jc w:val="right"/>
            </w:pPr>
            <w:r>
              <w:rPr>
                <w:sz w:val="18"/>
              </w:rPr>
              <w:t>0,00</w:t>
            </w:r>
          </w:p>
        </w:tc>
        <w:tc>
          <w:tcPr>
            <w:tcW w:w="1860" w:type="dxa"/>
            <w:tcMar>
              <w:top w:w="0" w:type="dxa"/>
              <w:bottom w:w="0" w:type="dxa"/>
            </w:tcMar>
            <w:vAlign w:val="center"/>
          </w:tcPr>
          <w:p w14:paraId="229FE83C" w14:textId="77777777" w:rsidR="00BA797F" w:rsidRDefault="00000000">
            <w:pPr>
              <w:keepNext/>
              <w:keepLines/>
              <w:spacing w:after="0" w:line="240" w:lineRule="auto"/>
              <w:jc w:val="right"/>
            </w:pPr>
            <w:r>
              <w:rPr>
                <w:sz w:val="18"/>
              </w:rPr>
              <w:t>15.575,31</w:t>
            </w:r>
          </w:p>
        </w:tc>
        <w:tc>
          <w:tcPr>
            <w:tcW w:w="700" w:type="dxa"/>
            <w:tcMar>
              <w:top w:w="0" w:type="dxa"/>
              <w:bottom w:w="0" w:type="dxa"/>
            </w:tcMar>
            <w:vAlign w:val="center"/>
          </w:tcPr>
          <w:p w14:paraId="6B9D1D29" w14:textId="77777777" w:rsidR="00BA797F" w:rsidRDefault="00000000">
            <w:pPr>
              <w:keepNext/>
              <w:keepLines/>
              <w:spacing w:after="0" w:line="240" w:lineRule="auto"/>
              <w:jc w:val="right"/>
            </w:pPr>
            <w:r>
              <w:rPr>
                <w:sz w:val="18"/>
              </w:rPr>
              <w:t>-</w:t>
            </w:r>
          </w:p>
        </w:tc>
      </w:tr>
    </w:tbl>
    <w:p w14:paraId="67171489" w14:textId="77777777" w:rsidR="00BA797F" w:rsidRDefault="00BA797F">
      <w:pPr>
        <w:spacing w:after="0"/>
      </w:pPr>
    </w:p>
    <w:p w14:paraId="7B7BBAF6" w14:textId="77777777" w:rsidR="00BA797F" w:rsidRDefault="00000000">
      <w:r>
        <w:t>Iznos manjka prihoda poslovanja na kontu 92224 -odnosi se na pogrešku iz prethodnog razdoblja ,točnije iz 2023 godine jer je naknadno uočen višak u  rezultatu iz izvora 5.4.1 Pomoći od Eu. Naime Pogon – Zagrebački centar za nezavisnu kulturu i mlade je u periodu od 2011. do 2018., u nekoliko</w:t>
      </w:r>
      <w:r>
        <w:br/>
        <w:t xml:space="preserve">faza provodio projekt </w:t>
      </w:r>
      <w:proofErr w:type="spellStart"/>
      <w:r>
        <w:t>Corners</w:t>
      </w:r>
      <w:proofErr w:type="spellEnd"/>
      <w:r>
        <w:t xml:space="preserve"> kao jedan od 11 partnera, zadnja faza trajala je od 2014. – 2018. godine. Projekt je bio sufinanciran sredstvima Europske komisije kroz program Kreativna Europa, a aktivnosti Pogona podupirali su Ministarstvo kulture i medija, Grad Zagreb, Turistička zajednica Grada Zagreba te Ministarstvo socijalne politike i mladih.</w:t>
      </w:r>
      <w:r>
        <w:br/>
        <w:t>U realizaciji tako velikih projekata potreban je određeni postotak sredstava koje sufinancira i sam partner. Tijekom godina Pogon su u projektu, kao što smo i naveli, podupirala tijela državnog, ali i nadležnog (lokalnog ) proračuna. Naročito veliki izazov predstavlja činjenica da se do kraja projekta sva sredstva moraju utrošiti a zadnji iznos uplate od strane Europske komisije dolazi tek u sljedećoj proračunskoj godini, odnosno po odobrenju samog izvještaja. </w:t>
      </w:r>
      <w:r>
        <w:br/>
        <w:t>Višak sredstava koji je nastao na projektu nakon uplate zadnje rate je iznos koji je Pogon u projektu prikazao kao vlastito sufinanciranje i to u djelu redovnog rada djelatnika Pogon-a ali također i u postocima udjela u fiksnim troškovima Pogona (struja, voda, grijanje) što je tijekom godina već bilo u potpunosti pokriveno iz Gradskog proračuna, stoga je i navedeni iznos potrebno vratiti u nadležni proračun, odnosno na račun Grada Zagreba.</w:t>
      </w:r>
    </w:p>
    <w:p w14:paraId="54C05E7C" w14:textId="77777777" w:rsidR="00BA797F" w:rsidRDefault="00BA797F"/>
    <w:p w14:paraId="72F5A345" w14:textId="77777777" w:rsidR="00BA797F" w:rsidRDefault="00000000">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3A15A8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85814E"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BE7544"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A562B5"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C88BA6" w14:textId="77777777" w:rsidR="00BA797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A24D99" w14:textId="77777777" w:rsidR="00BA797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87CED0" w14:textId="77777777" w:rsidR="00BA797F" w:rsidRDefault="00000000">
            <w:pPr>
              <w:keepNext/>
              <w:keepLines/>
              <w:spacing w:after="0" w:line="240" w:lineRule="auto"/>
              <w:jc w:val="center"/>
            </w:pPr>
            <w:r>
              <w:rPr>
                <w:b/>
                <w:sz w:val="18"/>
              </w:rPr>
              <w:t>Indeks (%)</w:t>
            </w:r>
          </w:p>
        </w:tc>
      </w:tr>
      <w:tr w:rsidR="00BA797F" w14:paraId="35FE4188" w14:textId="77777777">
        <w:tblPrEx>
          <w:tblCellMar>
            <w:top w:w="0" w:type="dxa"/>
            <w:bottom w:w="0" w:type="dxa"/>
          </w:tblCellMar>
        </w:tblPrEx>
        <w:trPr>
          <w:cantSplit/>
          <w:trHeight w:val="560"/>
        </w:trPr>
        <w:tc>
          <w:tcPr>
            <w:tcW w:w="700" w:type="dxa"/>
            <w:tcMar>
              <w:top w:w="0" w:type="dxa"/>
              <w:bottom w:w="0" w:type="dxa"/>
            </w:tcMar>
            <w:vAlign w:val="center"/>
          </w:tcPr>
          <w:p w14:paraId="6BDDC8AD" w14:textId="77777777" w:rsidR="00BA797F" w:rsidRDefault="00000000">
            <w:pPr>
              <w:keepNext/>
              <w:keepLines/>
              <w:spacing w:after="0" w:line="240" w:lineRule="auto"/>
            </w:pPr>
            <w:r>
              <w:rPr>
                <w:sz w:val="18"/>
              </w:rPr>
              <w:t>99611</w:t>
            </w:r>
          </w:p>
        </w:tc>
        <w:tc>
          <w:tcPr>
            <w:tcW w:w="3180" w:type="dxa"/>
            <w:tcMar>
              <w:top w:w="0" w:type="dxa"/>
              <w:bottom w:w="0" w:type="dxa"/>
            </w:tcMar>
            <w:vAlign w:val="center"/>
          </w:tcPr>
          <w:p w14:paraId="366884A4" w14:textId="77777777" w:rsidR="00BA797F" w:rsidRDefault="00000000">
            <w:pPr>
              <w:keepNext/>
              <w:keepLines/>
              <w:spacing w:after="0" w:line="240" w:lineRule="auto"/>
            </w:pPr>
            <w:r>
              <w:rPr>
                <w:sz w:val="18"/>
              </w:rPr>
              <w:t>Tuđa imovina dobivena na korištenje</w:t>
            </w:r>
          </w:p>
        </w:tc>
        <w:tc>
          <w:tcPr>
            <w:tcW w:w="700" w:type="dxa"/>
            <w:tcMar>
              <w:top w:w="0" w:type="dxa"/>
              <w:bottom w:w="0" w:type="dxa"/>
            </w:tcMar>
            <w:vAlign w:val="center"/>
          </w:tcPr>
          <w:p w14:paraId="62B561B7" w14:textId="77777777" w:rsidR="00BA797F" w:rsidRDefault="00000000">
            <w:pPr>
              <w:keepNext/>
              <w:keepLines/>
              <w:spacing w:after="0" w:line="240" w:lineRule="auto"/>
            </w:pPr>
            <w:r>
              <w:rPr>
                <w:sz w:val="18"/>
              </w:rPr>
              <w:t>99611</w:t>
            </w:r>
          </w:p>
        </w:tc>
        <w:tc>
          <w:tcPr>
            <w:tcW w:w="1860" w:type="dxa"/>
            <w:tcMar>
              <w:top w:w="0" w:type="dxa"/>
              <w:bottom w:w="0" w:type="dxa"/>
            </w:tcMar>
            <w:vAlign w:val="center"/>
          </w:tcPr>
          <w:p w14:paraId="63729706" w14:textId="77777777" w:rsidR="00BA797F" w:rsidRDefault="00000000">
            <w:pPr>
              <w:keepNext/>
              <w:keepLines/>
              <w:spacing w:after="0" w:line="240" w:lineRule="auto"/>
              <w:jc w:val="right"/>
            </w:pPr>
            <w:r>
              <w:rPr>
                <w:sz w:val="18"/>
              </w:rPr>
              <w:t>1.205,00</w:t>
            </w:r>
          </w:p>
        </w:tc>
        <w:tc>
          <w:tcPr>
            <w:tcW w:w="1860" w:type="dxa"/>
            <w:tcMar>
              <w:top w:w="0" w:type="dxa"/>
              <w:bottom w:w="0" w:type="dxa"/>
            </w:tcMar>
            <w:vAlign w:val="center"/>
          </w:tcPr>
          <w:p w14:paraId="3E18B073" w14:textId="77777777" w:rsidR="00BA797F" w:rsidRDefault="00000000">
            <w:pPr>
              <w:keepNext/>
              <w:keepLines/>
              <w:spacing w:after="0" w:line="240" w:lineRule="auto"/>
              <w:jc w:val="right"/>
            </w:pPr>
            <w:r>
              <w:rPr>
                <w:sz w:val="18"/>
              </w:rPr>
              <w:t>1.205,00</w:t>
            </w:r>
          </w:p>
        </w:tc>
        <w:tc>
          <w:tcPr>
            <w:tcW w:w="700" w:type="dxa"/>
            <w:tcMar>
              <w:top w:w="0" w:type="dxa"/>
              <w:bottom w:w="0" w:type="dxa"/>
            </w:tcMar>
            <w:vAlign w:val="center"/>
          </w:tcPr>
          <w:p w14:paraId="5435FB80" w14:textId="77777777" w:rsidR="00BA797F" w:rsidRDefault="00000000">
            <w:pPr>
              <w:keepNext/>
              <w:keepLines/>
              <w:spacing w:after="0" w:line="240" w:lineRule="auto"/>
              <w:jc w:val="right"/>
            </w:pPr>
            <w:r>
              <w:rPr>
                <w:sz w:val="18"/>
              </w:rPr>
              <w:t>100</w:t>
            </w:r>
          </w:p>
        </w:tc>
      </w:tr>
    </w:tbl>
    <w:p w14:paraId="7624C4B0" w14:textId="77777777" w:rsidR="00BA797F" w:rsidRDefault="00BA797F">
      <w:pPr>
        <w:spacing w:after="0"/>
      </w:pPr>
    </w:p>
    <w:p w14:paraId="7B9A7C4F" w14:textId="6AB89A6E" w:rsidR="00BA797F" w:rsidRDefault="00000000">
      <w:r>
        <w:t>Odlukom ravnateljice nakon obavljene inventure 2024. godine a prema izvješću središnjeg povjerenstva za popis imovine utvrđeno je da postoji oprema i sitan inventar koji je nabavljen od strane Grada Zagreba. Navedena oprema i sitan inventar se i dalje koristi ali kako se radilo o imovini bez odgovarajuće računovodstvene dokumentacije, osnovano je Povjerenstvo za procjenu imovine. Povjerenstvo je navedenu imovinu procijenilo i dostavilo izvješće u računovodstvo. Navedena imovina i sitan inventar evidentirani su u vanbilančnoj evidenciji 991-996.</w:t>
      </w:r>
    </w:p>
    <w:p w14:paraId="709FE3F3" w14:textId="77777777" w:rsidR="00BA797F" w:rsidRDefault="00BA797F"/>
    <w:p w14:paraId="40F8C7DB" w14:textId="77777777" w:rsidR="00BA797F"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20963D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17E9A9"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6BCEB6"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E5FF8C"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89791F" w14:textId="77777777" w:rsidR="00BA797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F87D3F" w14:textId="77777777" w:rsidR="00BA797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E98B6A" w14:textId="77777777" w:rsidR="00BA797F" w:rsidRDefault="00000000">
            <w:pPr>
              <w:keepNext/>
              <w:keepLines/>
              <w:spacing w:after="0" w:line="240" w:lineRule="auto"/>
              <w:jc w:val="center"/>
            </w:pPr>
            <w:r>
              <w:rPr>
                <w:b/>
                <w:sz w:val="18"/>
              </w:rPr>
              <w:t>Indeks (%)</w:t>
            </w:r>
          </w:p>
        </w:tc>
      </w:tr>
      <w:tr w:rsidR="00BA797F" w14:paraId="7D1BAD09" w14:textId="77777777">
        <w:tblPrEx>
          <w:tblCellMar>
            <w:top w:w="0" w:type="dxa"/>
            <w:bottom w:w="0" w:type="dxa"/>
          </w:tblCellMar>
        </w:tblPrEx>
        <w:trPr>
          <w:cantSplit/>
          <w:trHeight w:val="560"/>
        </w:trPr>
        <w:tc>
          <w:tcPr>
            <w:tcW w:w="700" w:type="dxa"/>
            <w:tcMar>
              <w:top w:w="0" w:type="dxa"/>
              <w:bottom w:w="0" w:type="dxa"/>
            </w:tcMar>
            <w:vAlign w:val="center"/>
          </w:tcPr>
          <w:p w14:paraId="3ECE72BD" w14:textId="77777777" w:rsidR="00BA797F" w:rsidRDefault="00000000">
            <w:pPr>
              <w:keepNext/>
              <w:keepLines/>
              <w:spacing w:after="0" w:line="240" w:lineRule="auto"/>
            </w:pPr>
            <w:r>
              <w:rPr>
                <w:sz w:val="18"/>
              </w:rPr>
              <w:t>99621</w:t>
            </w:r>
          </w:p>
        </w:tc>
        <w:tc>
          <w:tcPr>
            <w:tcW w:w="3180" w:type="dxa"/>
            <w:tcMar>
              <w:top w:w="0" w:type="dxa"/>
              <w:bottom w:w="0" w:type="dxa"/>
            </w:tcMar>
            <w:vAlign w:val="center"/>
          </w:tcPr>
          <w:p w14:paraId="11148126" w14:textId="77777777" w:rsidR="00BA797F" w:rsidRDefault="00000000">
            <w:pPr>
              <w:keepNext/>
              <w:keepLines/>
              <w:spacing w:after="0" w:line="240" w:lineRule="auto"/>
            </w:pPr>
            <w:r>
              <w:rPr>
                <w:sz w:val="18"/>
              </w:rPr>
              <w:t>Potencijalne obveze po danim jamstvima</w:t>
            </w:r>
          </w:p>
        </w:tc>
        <w:tc>
          <w:tcPr>
            <w:tcW w:w="700" w:type="dxa"/>
            <w:tcMar>
              <w:top w:w="0" w:type="dxa"/>
              <w:bottom w:w="0" w:type="dxa"/>
            </w:tcMar>
            <w:vAlign w:val="center"/>
          </w:tcPr>
          <w:p w14:paraId="5AAB4307" w14:textId="77777777" w:rsidR="00BA797F" w:rsidRDefault="00000000">
            <w:pPr>
              <w:keepNext/>
              <w:keepLines/>
              <w:spacing w:after="0" w:line="240" w:lineRule="auto"/>
            </w:pPr>
            <w:r>
              <w:rPr>
                <w:sz w:val="18"/>
              </w:rPr>
              <w:t>99621</w:t>
            </w:r>
          </w:p>
        </w:tc>
        <w:tc>
          <w:tcPr>
            <w:tcW w:w="1860" w:type="dxa"/>
            <w:tcMar>
              <w:top w:w="0" w:type="dxa"/>
              <w:bottom w:w="0" w:type="dxa"/>
            </w:tcMar>
            <w:vAlign w:val="center"/>
          </w:tcPr>
          <w:p w14:paraId="77375488" w14:textId="77777777" w:rsidR="00BA797F" w:rsidRDefault="00000000">
            <w:pPr>
              <w:keepNext/>
              <w:keepLines/>
              <w:spacing w:after="0" w:line="240" w:lineRule="auto"/>
              <w:jc w:val="right"/>
            </w:pPr>
            <w:r>
              <w:rPr>
                <w:sz w:val="18"/>
              </w:rPr>
              <w:t>0,00</w:t>
            </w:r>
          </w:p>
        </w:tc>
        <w:tc>
          <w:tcPr>
            <w:tcW w:w="1860" w:type="dxa"/>
            <w:tcMar>
              <w:top w:w="0" w:type="dxa"/>
              <w:bottom w:w="0" w:type="dxa"/>
            </w:tcMar>
            <w:vAlign w:val="center"/>
          </w:tcPr>
          <w:p w14:paraId="20B2E250" w14:textId="77777777" w:rsidR="00BA797F" w:rsidRDefault="00000000">
            <w:pPr>
              <w:keepNext/>
              <w:keepLines/>
              <w:spacing w:after="0" w:line="240" w:lineRule="auto"/>
              <w:jc w:val="right"/>
            </w:pPr>
            <w:r>
              <w:rPr>
                <w:sz w:val="18"/>
              </w:rPr>
              <w:t>2.000,00</w:t>
            </w:r>
          </w:p>
        </w:tc>
        <w:tc>
          <w:tcPr>
            <w:tcW w:w="700" w:type="dxa"/>
            <w:tcMar>
              <w:top w:w="0" w:type="dxa"/>
              <w:bottom w:w="0" w:type="dxa"/>
            </w:tcMar>
            <w:vAlign w:val="center"/>
          </w:tcPr>
          <w:p w14:paraId="09A0E91D" w14:textId="77777777" w:rsidR="00BA797F" w:rsidRDefault="00000000">
            <w:pPr>
              <w:keepNext/>
              <w:keepLines/>
              <w:spacing w:after="0" w:line="240" w:lineRule="auto"/>
              <w:jc w:val="right"/>
            </w:pPr>
            <w:r>
              <w:rPr>
                <w:sz w:val="18"/>
              </w:rPr>
              <w:t>-</w:t>
            </w:r>
          </w:p>
        </w:tc>
      </w:tr>
    </w:tbl>
    <w:p w14:paraId="29CA389E" w14:textId="77777777" w:rsidR="00BA797F" w:rsidRDefault="00BA797F">
      <w:pPr>
        <w:spacing w:after="0"/>
      </w:pPr>
    </w:p>
    <w:p w14:paraId="4DEAD319" w14:textId="77777777" w:rsidR="00BA797F" w:rsidRDefault="00000000">
      <w:r>
        <w:t>Iznos od 2.000 € odnosi se na dano jamstvo- zadužnica Erste banci za kreditne kartice.</w:t>
      </w:r>
    </w:p>
    <w:p w14:paraId="44B14DC8" w14:textId="77777777" w:rsidR="00BA797F" w:rsidRDefault="00BA797F"/>
    <w:p w14:paraId="6101DA7B" w14:textId="77777777" w:rsidR="00BA797F" w:rsidRDefault="00000000">
      <w:pPr>
        <w:keepNext/>
        <w:spacing w:line="240" w:lineRule="auto"/>
        <w:jc w:val="center"/>
      </w:pPr>
      <w:r>
        <w:rPr>
          <w:b/>
          <w:sz w:val="28"/>
        </w:rPr>
        <w:t>Promjene u vrijednosti i obujmu imovine i obveza</w:t>
      </w:r>
    </w:p>
    <w:p w14:paraId="1F277EF2" w14:textId="77777777" w:rsidR="00BA797F"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1C996E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3DD0B9"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7D15A2"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B3CC2E"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ACE2DF" w14:textId="77777777" w:rsidR="00BA797F"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F88368A" w14:textId="77777777" w:rsidR="00BA797F"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7A12872" w14:textId="77777777" w:rsidR="00BA797F" w:rsidRDefault="00000000">
            <w:pPr>
              <w:keepNext/>
              <w:keepLines/>
              <w:spacing w:after="0" w:line="240" w:lineRule="auto"/>
              <w:jc w:val="center"/>
            </w:pPr>
            <w:r>
              <w:rPr>
                <w:b/>
                <w:sz w:val="18"/>
              </w:rPr>
              <w:t>Indeks (%)</w:t>
            </w:r>
          </w:p>
        </w:tc>
      </w:tr>
      <w:tr w:rsidR="00BA797F" w14:paraId="40FE1D2B" w14:textId="77777777">
        <w:tblPrEx>
          <w:tblCellMar>
            <w:top w:w="0" w:type="dxa"/>
            <w:bottom w:w="0" w:type="dxa"/>
          </w:tblCellMar>
        </w:tblPrEx>
        <w:trPr>
          <w:cantSplit/>
          <w:trHeight w:val="560"/>
        </w:trPr>
        <w:tc>
          <w:tcPr>
            <w:tcW w:w="700" w:type="dxa"/>
            <w:tcMar>
              <w:top w:w="0" w:type="dxa"/>
              <w:bottom w:w="0" w:type="dxa"/>
            </w:tcMar>
            <w:vAlign w:val="center"/>
          </w:tcPr>
          <w:p w14:paraId="453ED8C5" w14:textId="77777777" w:rsidR="00BA797F" w:rsidRDefault="00000000">
            <w:pPr>
              <w:keepNext/>
              <w:keepLines/>
              <w:spacing w:after="0" w:line="240" w:lineRule="auto"/>
            </w:pPr>
            <w:r>
              <w:rPr>
                <w:sz w:val="18"/>
              </w:rPr>
              <w:t>91511</w:t>
            </w:r>
          </w:p>
        </w:tc>
        <w:tc>
          <w:tcPr>
            <w:tcW w:w="3180" w:type="dxa"/>
            <w:tcMar>
              <w:top w:w="0" w:type="dxa"/>
              <w:bottom w:w="0" w:type="dxa"/>
            </w:tcMar>
            <w:vAlign w:val="center"/>
          </w:tcPr>
          <w:p w14:paraId="170ED828" w14:textId="77777777" w:rsidR="00BA797F"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2F874129" w14:textId="77777777" w:rsidR="00BA797F" w:rsidRDefault="00000000">
            <w:pPr>
              <w:keepNext/>
              <w:keepLines/>
              <w:spacing w:after="0" w:line="240" w:lineRule="auto"/>
            </w:pPr>
            <w:r>
              <w:rPr>
                <w:sz w:val="18"/>
              </w:rPr>
              <w:t>91511</w:t>
            </w:r>
          </w:p>
        </w:tc>
        <w:tc>
          <w:tcPr>
            <w:tcW w:w="1860" w:type="dxa"/>
            <w:tcMar>
              <w:top w:w="0" w:type="dxa"/>
              <w:bottom w:w="0" w:type="dxa"/>
            </w:tcMar>
            <w:vAlign w:val="center"/>
          </w:tcPr>
          <w:p w14:paraId="72DB986F" w14:textId="77777777" w:rsidR="00BA797F" w:rsidRDefault="00000000">
            <w:pPr>
              <w:keepNext/>
              <w:keepLines/>
              <w:spacing w:after="0" w:line="240" w:lineRule="auto"/>
              <w:jc w:val="right"/>
            </w:pPr>
            <w:r>
              <w:rPr>
                <w:sz w:val="18"/>
              </w:rPr>
              <w:t>0,00</w:t>
            </w:r>
          </w:p>
        </w:tc>
        <w:tc>
          <w:tcPr>
            <w:tcW w:w="1860" w:type="dxa"/>
            <w:tcMar>
              <w:top w:w="0" w:type="dxa"/>
              <w:bottom w:w="0" w:type="dxa"/>
            </w:tcMar>
            <w:vAlign w:val="center"/>
          </w:tcPr>
          <w:p w14:paraId="6D73D2A8" w14:textId="77777777" w:rsidR="00BA797F" w:rsidRDefault="00000000">
            <w:pPr>
              <w:keepNext/>
              <w:keepLines/>
              <w:spacing w:after="0" w:line="240" w:lineRule="auto"/>
              <w:jc w:val="right"/>
            </w:pPr>
            <w:r>
              <w:rPr>
                <w:sz w:val="18"/>
              </w:rPr>
              <w:t>23.324,96</w:t>
            </w:r>
          </w:p>
        </w:tc>
        <w:tc>
          <w:tcPr>
            <w:tcW w:w="700" w:type="dxa"/>
            <w:tcMar>
              <w:top w:w="0" w:type="dxa"/>
              <w:bottom w:w="0" w:type="dxa"/>
            </w:tcMar>
            <w:vAlign w:val="center"/>
          </w:tcPr>
          <w:p w14:paraId="0F656C72" w14:textId="77777777" w:rsidR="00BA797F" w:rsidRDefault="00000000">
            <w:pPr>
              <w:keepNext/>
              <w:keepLines/>
              <w:spacing w:after="0" w:line="240" w:lineRule="auto"/>
              <w:jc w:val="right"/>
            </w:pPr>
            <w:r>
              <w:rPr>
                <w:sz w:val="18"/>
              </w:rPr>
              <w:t>-</w:t>
            </w:r>
          </w:p>
        </w:tc>
      </w:tr>
    </w:tbl>
    <w:p w14:paraId="6FB1C699" w14:textId="77777777" w:rsidR="00BA797F" w:rsidRDefault="00BA797F">
      <w:pPr>
        <w:spacing w:after="0"/>
      </w:pPr>
    </w:p>
    <w:p w14:paraId="121CBC78" w14:textId="77777777" w:rsidR="00BA797F" w:rsidRDefault="00000000">
      <w:r>
        <w:t>Sukladno čl.120 i 121. Novog Pravilnika uveli smo knjiženje ispravka vrijednosti dugotrajne imovine preko podskupine 915, odobrenjem i zaduženjem odgovarajućeg konta.</w:t>
      </w:r>
    </w:p>
    <w:p w14:paraId="7376F5D2" w14:textId="77777777" w:rsidR="00BA797F" w:rsidRDefault="00BA797F"/>
    <w:p w14:paraId="35C17C44" w14:textId="77777777" w:rsidR="00BA797F"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A797F" w14:paraId="40DD55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C903A9"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9E44C1"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C0A291"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29514C" w14:textId="77777777" w:rsidR="00BA797F"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F208210" w14:textId="77777777" w:rsidR="00BA797F"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D2A7528" w14:textId="77777777" w:rsidR="00BA797F" w:rsidRDefault="00000000">
            <w:pPr>
              <w:keepNext/>
              <w:keepLines/>
              <w:spacing w:after="0" w:line="240" w:lineRule="auto"/>
              <w:jc w:val="center"/>
            </w:pPr>
            <w:r>
              <w:rPr>
                <w:b/>
                <w:sz w:val="18"/>
              </w:rPr>
              <w:t>Indeks (%)</w:t>
            </w:r>
          </w:p>
        </w:tc>
      </w:tr>
      <w:tr w:rsidR="00BA797F" w14:paraId="2AB23274" w14:textId="77777777">
        <w:tblPrEx>
          <w:tblCellMar>
            <w:top w:w="0" w:type="dxa"/>
            <w:bottom w:w="0" w:type="dxa"/>
          </w:tblCellMar>
        </w:tblPrEx>
        <w:trPr>
          <w:cantSplit/>
          <w:trHeight w:val="560"/>
        </w:trPr>
        <w:tc>
          <w:tcPr>
            <w:tcW w:w="700" w:type="dxa"/>
            <w:tcMar>
              <w:top w:w="0" w:type="dxa"/>
              <w:bottom w:w="0" w:type="dxa"/>
            </w:tcMar>
            <w:vAlign w:val="center"/>
          </w:tcPr>
          <w:p w14:paraId="06168A8F" w14:textId="77777777" w:rsidR="00BA797F" w:rsidRDefault="00000000">
            <w:pPr>
              <w:keepNext/>
              <w:keepLines/>
              <w:spacing w:after="0" w:line="240" w:lineRule="auto"/>
            </w:pPr>
            <w:r>
              <w:rPr>
                <w:sz w:val="18"/>
              </w:rPr>
              <w:t>91512</w:t>
            </w:r>
          </w:p>
        </w:tc>
        <w:tc>
          <w:tcPr>
            <w:tcW w:w="3180" w:type="dxa"/>
            <w:tcMar>
              <w:top w:w="0" w:type="dxa"/>
              <w:bottom w:w="0" w:type="dxa"/>
            </w:tcMar>
            <w:vAlign w:val="center"/>
          </w:tcPr>
          <w:p w14:paraId="29CE47B3" w14:textId="77777777" w:rsidR="00BA797F"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69A156E5" w14:textId="77777777" w:rsidR="00BA797F" w:rsidRDefault="00000000">
            <w:pPr>
              <w:keepNext/>
              <w:keepLines/>
              <w:spacing w:after="0" w:line="240" w:lineRule="auto"/>
            </w:pPr>
            <w:r>
              <w:rPr>
                <w:sz w:val="18"/>
              </w:rPr>
              <w:t>91512</w:t>
            </w:r>
          </w:p>
        </w:tc>
        <w:tc>
          <w:tcPr>
            <w:tcW w:w="1860" w:type="dxa"/>
            <w:tcMar>
              <w:top w:w="0" w:type="dxa"/>
              <w:bottom w:w="0" w:type="dxa"/>
            </w:tcMar>
            <w:vAlign w:val="center"/>
          </w:tcPr>
          <w:p w14:paraId="6D8F8A39" w14:textId="77777777" w:rsidR="00BA797F" w:rsidRDefault="00000000">
            <w:pPr>
              <w:keepNext/>
              <w:keepLines/>
              <w:spacing w:after="0" w:line="240" w:lineRule="auto"/>
              <w:jc w:val="right"/>
            </w:pPr>
            <w:r>
              <w:rPr>
                <w:sz w:val="18"/>
              </w:rPr>
              <w:t>0,00</w:t>
            </w:r>
          </w:p>
        </w:tc>
        <w:tc>
          <w:tcPr>
            <w:tcW w:w="1860" w:type="dxa"/>
            <w:tcMar>
              <w:top w:w="0" w:type="dxa"/>
              <w:bottom w:w="0" w:type="dxa"/>
            </w:tcMar>
            <w:vAlign w:val="center"/>
          </w:tcPr>
          <w:p w14:paraId="36B6904A" w14:textId="77777777" w:rsidR="00BA797F" w:rsidRDefault="00000000">
            <w:pPr>
              <w:keepNext/>
              <w:keepLines/>
              <w:spacing w:after="0" w:line="240" w:lineRule="auto"/>
              <w:jc w:val="right"/>
            </w:pPr>
            <w:r>
              <w:rPr>
                <w:sz w:val="18"/>
              </w:rPr>
              <w:t>130,30</w:t>
            </w:r>
          </w:p>
        </w:tc>
        <w:tc>
          <w:tcPr>
            <w:tcW w:w="700" w:type="dxa"/>
            <w:tcMar>
              <w:top w:w="0" w:type="dxa"/>
              <w:bottom w:w="0" w:type="dxa"/>
            </w:tcMar>
            <w:vAlign w:val="center"/>
          </w:tcPr>
          <w:p w14:paraId="14CA29CC" w14:textId="77777777" w:rsidR="00BA797F" w:rsidRDefault="00000000">
            <w:pPr>
              <w:keepNext/>
              <w:keepLines/>
              <w:spacing w:after="0" w:line="240" w:lineRule="auto"/>
              <w:jc w:val="right"/>
            </w:pPr>
            <w:r>
              <w:rPr>
                <w:sz w:val="18"/>
              </w:rPr>
              <w:t>-</w:t>
            </w:r>
          </w:p>
        </w:tc>
      </w:tr>
    </w:tbl>
    <w:p w14:paraId="11466097" w14:textId="77777777" w:rsidR="00BA797F" w:rsidRDefault="00BA797F">
      <w:pPr>
        <w:spacing w:after="0"/>
      </w:pPr>
    </w:p>
    <w:p w14:paraId="53F4292A" w14:textId="77777777" w:rsidR="00BA797F" w:rsidRDefault="00000000">
      <w:r>
        <w:lastRenderedPageBreak/>
        <w:t xml:space="preserve">Smanjenje imovine za </w:t>
      </w:r>
      <w:r>
        <w:rPr>
          <w:b/>
        </w:rPr>
        <w:t>130,30€</w:t>
      </w:r>
      <w:r>
        <w:t xml:space="preserve"> rezultat je </w:t>
      </w:r>
      <w:proofErr w:type="spellStart"/>
      <w:r>
        <w:t>isknjiženja</w:t>
      </w:r>
      <w:proofErr w:type="spellEnd"/>
      <w:r>
        <w:t xml:space="preserve"> neupotrebljive imovine koja je prilikom </w:t>
      </w:r>
      <w:proofErr w:type="spellStart"/>
      <w:r>
        <w:t>isknjiženja</w:t>
      </w:r>
      <w:proofErr w:type="spellEnd"/>
      <w:r>
        <w:t xml:space="preserve"> imala knjigovodstvenu neotpisanu vrijednost.</w:t>
      </w:r>
    </w:p>
    <w:p w14:paraId="58DC25D2" w14:textId="77777777" w:rsidR="00BA797F" w:rsidRDefault="00BA797F"/>
    <w:p w14:paraId="10A3C2E8" w14:textId="77777777" w:rsidR="00BA797F" w:rsidRDefault="00000000">
      <w:pPr>
        <w:keepNext/>
        <w:spacing w:line="240" w:lineRule="auto"/>
        <w:jc w:val="center"/>
      </w:pPr>
      <w:r>
        <w:rPr>
          <w:b/>
          <w:sz w:val="28"/>
        </w:rPr>
        <w:t>Izvještaj o obvezama</w:t>
      </w:r>
    </w:p>
    <w:p w14:paraId="7578FB0C" w14:textId="77777777" w:rsidR="00BA797F"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A797F" w14:paraId="22B5D9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43E11D"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1FE2C9"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4C1D47"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0BE1C5" w14:textId="77777777" w:rsidR="00BA797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BE10627" w14:textId="77777777" w:rsidR="00BA797F" w:rsidRDefault="00000000">
            <w:pPr>
              <w:keepNext/>
              <w:keepLines/>
              <w:spacing w:after="0" w:line="240" w:lineRule="auto"/>
              <w:jc w:val="center"/>
            </w:pPr>
            <w:r>
              <w:rPr>
                <w:b/>
                <w:sz w:val="18"/>
              </w:rPr>
              <w:t>Indeks (%)</w:t>
            </w:r>
          </w:p>
        </w:tc>
      </w:tr>
      <w:tr w:rsidR="00BA797F" w14:paraId="61FBFBC6" w14:textId="77777777">
        <w:tblPrEx>
          <w:tblCellMar>
            <w:top w:w="0" w:type="dxa"/>
            <w:bottom w:w="0" w:type="dxa"/>
          </w:tblCellMar>
        </w:tblPrEx>
        <w:trPr>
          <w:cantSplit/>
          <w:trHeight w:val="560"/>
        </w:trPr>
        <w:tc>
          <w:tcPr>
            <w:tcW w:w="700" w:type="dxa"/>
            <w:tcMar>
              <w:top w:w="0" w:type="dxa"/>
              <w:bottom w:w="0" w:type="dxa"/>
            </w:tcMar>
            <w:vAlign w:val="center"/>
          </w:tcPr>
          <w:p w14:paraId="3573C901" w14:textId="77777777" w:rsidR="00BA797F" w:rsidRDefault="00BA797F">
            <w:pPr>
              <w:keepNext/>
              <w:keepLines/>
              <w:spacing w:after="0" w:line="240" w:lineRule="auto"/>
            </w:pPr>
          </w:p>
        </w:tc>
        <w:tc>
          <w:tcPr>
            <w:tcW w:w="3180" w:type="dxa"/>
            <w:tcMar>
              <w:top w:w="0" w:type="dxa"/>
              <w:bottom w:w="0" w:type="dxa"/>
            </w:tcMar>
            <w:vAlign w:val="center"/>
          </w:tcPr>
          <w:p w14:paraId="35F2FD69" w14:textId="77777777" w:rsidR="00BA797F"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5F07B03" w14:textId="77777777" w:rsidR="00BA797F" w:rsidRDefault="00000000">
            <w:pPr>
              <w:keepNext/>
              <w:keepLines/>
              <w:spacing w:after="0" w:line="240" w:lineRule="auto"/>
            </w:pPr>
            <w:r>
              <w:rPr>
                <w:sz w:val="18"/>
              </w:rPr>
              <w:t>V007</w:t>
            </w:r>
          </w:p>
        </w:tc>
        <w:tc>
          <w:tcPr>
            <w:tcW w:w="1860" w:type="dxa"/>
            <w:tcMar>
              <w:top w:w="0" w:type="dxa"/>
              <w:bottom w:w="0" w:type="dxa"/>
            </w:tcMar>
            <w:vAlign w:val="center"/>
          </w:tcPr>
          <w:p w14:paraId="35AC0213" w14:textId="77777777" w:rsidR="00BA797F" w:rsidRDefault="00000000">
            <w:pPr>
              <w:keepNext/>
              <w:keepLines/>
              <w:spacing w:after="0" w:line="240" w:lineRule="auto"/>
              <w:jc w:val="right"/>
            </w:pPr>
            <w:r>
              <w:rPr>
                <w:sz w:val="18"/>
              </w:rPr>
              <w:t>198,13</w:t>
            </w:r>
          </w:p>
        </w:tc>
        <w:tc>
          <w:tcPr>
            <w:tcW w:w="700" w:type="dxa"/>
            <w:tcMar>
              <w:top w:w="0" w:type="dxa"/>
              <w:bottom w:w="0" w:type="dxa"/>
            </w:tcMar>
            <w:vAlign w:val="center"/>
          </w:tcPr>
          <w:p w14:paraId="22D86088" w14:textId="77777777" w:rsidR="00BA797F" w:rsidRDefault="00000000">
            <w:pPr>
              <w:keepNext/>
              <w:keepLines/>
              <w:spacing w:after="0" w:line="240" w:lineRule="auto"/>
              <w:jc w:val="right"/>
            </w:pPr>
            <w:r>
              <w:rPr>
                <w:sz w:val="18"/>
              </w:rPr>
              <w:t>-</w:t>
            </w:r>
          </w:p>
        </w:tc>
      </w:tr>
    </w:tbl>
    <w:p w14:paraId="1AF6C7E1" w14:textId="77777777" w:rsidR="00BA797F" w:rsidRDefault="00BA797F">
      <w:pPr>
        <w:spacing w:after="0"/>
      </w:pPr>
    </w:p>
    <w:p w14:paraId="085EBA44" w14:textId="77777777" w:rsidR="00BA797F" w:rsidRDefault="00000000">
      <w:r>
        <w:t>Dospjele obveze odnose se na račune komunalne i vodne naknade koji su za studeni 2025. godine došli nakon računa za prosinac. Navedeno dospjelo potraživanje u potpunosti je plaćeno u siječnju 2026. godine.</w:t>
      </w:r>
    </w:p>
    <w:p w14:paraId="351C66AB" w14:textId="77777777" w:rsidR="00BA797F" w:rsidRDefault="00BA797F"/>
    <w:p w14:paraId="1D9B8F28" w14:textId="77777777" w:rsidR="00BA797F"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A797F" w14:paraId="46155A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CFAD9F"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44A088"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CF26F2"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15EBD4" w14:textId="77777777" w:rsidR="00BA797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05081E" w14:textId="77777777" w:rsidR="00BA797F" w:rsidRDefault="00000000">
            <w:pPr>
              <w:keepNext/>
              <w:keepLines/>
              <w:spacing w:after="0" w:line="240" w:lineRule="auto"/>
              <w:jc w:val="center"/>
            </w:pPr>
            <w:r>
              <w:rPr>
                <w:b/>
                <w:sz w:val="18"/>
              </w:rPr>
              <w:t>Indeks (%)</w:t>
            </w:r>
          </w:p>
        </w:tc>
      </w:tr>
      <w:tr w:rsidR="00BA797F" w14:paraId="32F962D1" w14:textId="77777777">
        <w:tblPrEx>
          <w:tblCellMar>
            <w:top w:w="0" w:type="dxa"/>
            <w:bottom w:w="0" w:type="dxa"/>
          </w:tblCellMar>
        </w:tblPrEx>
        <w:trPr>
          <w:cantSplit/>
          <w:trHeight w:val="560"/>
        </w:trPr>
        <w:tc>
          <w:tcPr>
            <w:tcW w:w="700" w:type="dxa"/>
            <w:tcMar>
              <w:top w:w="0" w:type="dxa"/>
              <w:bottom w:w="0" w:type="dxa"/>
            </w:tcMar>
            <w:vAlign w:val="center"/>
          </w:tcPr>
          <w:p w14:paraId="3C3E37EB" w14:textId="77777777" w:rsidR="00BA797F" w:rsidRDefault="00000000">
            <w:pPr>
              <w:keepNext/>
              <w:keepLines/>
              <w:spacing w:after="0" w:line="240" w:lineRule="auto"/>
            </w:pPr>
            <w:r>
              <w:rPr>
                <w:sz w:val="18"/>
              </w:rPr>
              <w:t>232</w:t>
            </w:r>
          </w:p>
        </w:tc>
        <w:tc>
          <w:tcPr>
            <w:tcW w:w="3180" w:type="dxa"/>
            <w:tcMar>
              <w:top w:w="0" w:type="dxa"/>
              <w:bottom w:w="0" w:type="dxa"/>
            </w:tcMar>
            <w:vAlign w:val="center"/>
          </w:tcPr>
          <w:p w14:paraId="39F41487" w14:textId="77777777" w:rsidR="00BA797F" w:rsidRDefault="00000000">
            <w:pPr>
              <w:keepNext/>
              <w:keepLines/>
              <w:spacing w:after="0" w:line="240" w:lineRule="auto"/>
            </w:pPr>
            <w:r>
              <w:rPr>
                <w:sz w:val="18"/>
              </w:rPr>
              <w:t>Obveze za materijalne rashode (šifre D232A do D232D)</w:t>
            </w:r>
          </w:p>
        </w:tc>
        <w:tc>
          <w:tcPr>
            <w:tcW w:w="700" w:type="dxa"/>
            <w:tcMar>
              <w:top w:w="0" w:type="dxa"/>
              <w:bottom w:w="0" w:type="dxa"/>
            </w:tcMar>
            <w:vAlign w:val="center"/>
          </w:tcPr>
          <w:p w14:paraId="63C456EF" w14:textId="77777777" w:rsidR="00BA797F" w:rsidRDefault="00000000">
            <w:pPr>
              <w:keepNext/>
              <w:keepLines/>
              <w:spacing w:after="0" w:line="240" w:lineRule="auto"/>
            </w:pPr>
            <w:r>
              <w:rPr>
                <w:sz w:val="18"/>
              </w:rPr>
              <w:t>D232</w:t>
            </w:r>
          </w:p>
        </w:tc>
        <w:tc>
          <w:tcPr>
            <w:tcW w:w="1860" w:type="dxa"/>
            <w:tcMar>
              <w:top w:w="0" w:type="dxa"/>
              <w:bottom w:w="0" w:type="dxa"/>
            </w:tcMar>
            <w:vAlign w:val="center"/>
          </w:tcPr>
          <w:p w14:paraId="7E47EB22" w14:textId="77777777" w:rsidR="00BA797F" w:rsidRDefault="00000000">
            <w:pPr>
              <w:keepNext/>
              <w:keepLines/>
              <w:spacing w:after="0" w:line="240" w:lineRule="auto"/>
              <w:jc w:val="right"/>
            </w:pPr>
            <w:r>
              <w:rPr>
                <w:sz w:val="18"/>
              </w:rPr>
              <w:t>198,13</w:t>
            </w:r>
          </w:p>
        </w:tc>
        <w:tc>
          <w:tcPr>
            <w:tcW w:w="700" w:type="dxa"/>
            <w:tcMar>
              <w:top w:w="0" w:type="dxa"/>
              <w:bottom w:w="0" w:type="dxa"/>
            </w:tcMar>
            <w:vAlign w:val="center"/>
          </w:tcPr>
          <w:p w14:paraId="28146F2A" w14:textId="77777777" w:rsidR="00BA797F" w:rsidRDefault="00000000">
            <w:pPr>
              <w:keepNext/>
              <w:keepLines/>
              <w:spacing w:after="0" w:line="240" w:lineRule="auto"/>
              <w:jc w:val="right"/>
            </w:pPr>
            <w:r>
              <w:rPr>
                <w:sz w:val="18"/>
              </w:rPr>
              <w:t>-</w:t>
            </w:r>
          </w:p>
        </w:tc>
      </w:tr>
    </w:tbl>
    <w:p w14:paraId="2450CD7C" w14:textId="77777777" w:rsidR="00BA797F" w:rsidRDefault="00BA797F">
      <w:pPr>
        <w:spacing w:after="0"/>
      </w:pPr>
    </w:p>
    <w:p w14:paraId="4AE7D48E" w14:textId="77777777" w:rsidR="00BA797F" w:rsidRDefault="00000000">
      <w:r>
        <w:t>Dospjele obveze odnose se na račune komunalne i vodne naknade koji su za studeni 2025. godine došli nakon računa za prosinac. Navedeno dospjelo potraživanje u potpunosti je plaćeno u siječnju 2026.godine.</w:t>
      </w:r>
    </w:p>
    <w:p w14:paraId="3AD22281" w14:textId="77777777" w:rsidR="00BA797F" w:rsidRDefault="00BA797F"/>
    <w:p w14:paraId="2A827D51" w14:textId="77777777" w:rsidR="00BA797F"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A797F" w14:paraId="4622DA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0E46B8"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BBE6D3"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92E85F"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E9556F" w14:textId="77777777" w:rsidR="00BA797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47F63C2" w14:textId="77777777" w:rsidR="00BA797F" w:rsidRDefault="00000000">
            <w:pPr>
              <w:keepNext/>
              <w:keepLines/>
              <w:spacing w:after="0" w:line="240" w:lineRule="auto"/>
              <w:jc w:val="center"/>
            </w:pPr>
            <w:r>
              <w:rPr>
                <w:b/>
                <w:sz w:val="18"/>
              </w:rPr>
              <w:t>Indeks (%)</w:t>
            </w:r>
          </w:p>
        </w:tc>
      </w:tr>
      <w:tr w:rsidR="00BA797F" w14:paraId="30CCA2FA" w14:textId="77777777">
        <w:tblPrEx>
          <w:tblCellMar>
            <w:top w:w="0" w:type="dxa"/>
            <w:bottom w:w="0" w:type="dxa"/>
          </w:tblCellMar>
        </w:tblPrEx>
        <w:trPr>
          <w:cantSplit/>
          <w:trHeight w:val="560"/>
        </w:trPr>
        <w:tc>
          <w:tcPr>
            <w:tcW w:w="700" w:type="dxa"/>
            <w:tcMar>
              <w:top w:w="0" w:type="dxa"/>
              <w:bottom w:w="0" w:type="dxa"/>
            </w:tcMar>
            <w:vAlign w:val="center"/>
          </w:tcPr>
          <w:p w14:paraId="42271B3B" w14:textId="77777777" w:rsidR="00BA797F" w:rsidRDefault="00BA797F">
            <w:pPr>
              <w:keepNext/>
              <w:keepLines/>
              <w:spacing w:after="0" w:line="240" w:lineRule="auto"/>
            </w:pPr>
          </w:p>
        </w:tc>
        <w:tc>
          <w:tcPr>
            <w:tcW w:w="3180" w:type="dxa"/>
            <w:tcMar>
              <w:top w:w="0" w:type="dxa"/>
              <w:bottom w:w="0" w:type="dxa"/>
            </w:tcMar>
            <w:vAlign w:val="center"/>
          </w:tcPr>
          <w:p w14:paraId="714C6F43" w14:textId="77777777" w:rsidR="00BA797F"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1C554C76" w14:textId="77777777" w:rsidR="00BA797F" w:rsidRDefault="00000000">
            <w:pPr>
              <w:keepNext/>
              <w:keepLines/>
              <w:spacing w:after="0" w:line="240" w:lineRule="auto"/>
            </w:pPr>
            <w:r>
              <w:rPr>
                <w:sz w:val="18"/>
              </w:rPr>
              <w:t>V009</w:t>
            </w:r>
          </w:p>
        </w:tc>
        <w:tc>
          <w:tcPr>
            <w:tcW w:w="1860" w:type="dxa"/>
            <w:tcMar>
              <w:top w:w="0" w:type="dxa"/>
              <w:bottom w:w="0" w:type="dxa"/>
            </w:tcMar>
            <w:vAlign w:val="center"/>
          </w:tcPr>
          <w:p w14:paraId="0F630CBC" w14:textId="77777777" w:rsidR="00BA797F" w:rsidRDefault="00000000">
            <w:pPr>
              <w:keepNext/>
              <w:keepLines/>
              <w:spacing w:after="0" w:line="240" w:lineRule="auto"/>
              <w:jc w:val="right"/>
            </w:pPr>
            <w:r>
              <w:rPr>
                <w:sz w:val="18"/>
              </w:rPr>
              <w:t>107.996,54</w:t>
            </w:r>
          </w:p>
        </w:tc>
        <w:tc>
          <w:tcPr>
            <w:tcW w:w="700" w:type="dxa"/>
            <w:tcMar>
              <w:top w:w="0" w:type="dxa"/>
              <w:bottom w:w="0" w:type="dxa"/>
            </w:tcMar>
            <w:vAlign w:val="center"/>
          </w:tcPr>
          <w:p w14:paraId="65EC2ECF" w14:textId="77777777" w:rsidR="00BA797F" w:rsidRDefault="00000000">
            <w:pPr>
              <w:keepNext/>
              <w:keepLines/>
              <w:spacing w:after="0" w:line="240" w:lineRule="auto"/>
              <w:jc w:val="right"/>
            </w:pPr>
            <w:r>
              <w:rPr>
                <w:sz w:val="18"/>
              </w:rPr>
              <w:t>-</w:t>
            </w:r>
          </w:p>
        </w:tc>
      </w:tr>
    </w:tbl>
    <w:p w14:paraId="35951A40" w14:textId="77777777" w:rsidR="00BA797F" w:rsidRDefault="00BA797F">
      <w:pPr>
        <w:spacing w:after="0"/>
      </w:pPr>
    </w:p>
    <w:p w14:paraId="341CE364" w14:textId="77777777" w:rsidR="00BA797F" w:rsidRDefault="00000000">
      <w:r>
        <w:t xml:space="preserve">Nedospjele obveze na dan 31.12.2025. iznose ukupno </w:t>
      </w:r>
      <w:r>
        <w:rPr>
          <w:b/>
        </w:rPr>
        <w:t>107.996,54 € </w:t>
      </w:r>
    </w:p>
    <w:p w14:paraId="534C3A82" w14:textId="77777777" w:rsidR="00BA797F" w:rsidRDefault="00000000">
      <w:r>
        <w:t>Struktura je dana u sljedećoj tablici</w:t>
      </w:r>
    </w:p>
    <w:tbl>
      <w:tblPr>
        <w:tblStyle w:val="Reetkatablice"/>
        <w:tblW w:w="3947" w:type="pct"/>
        <w:tblLook w:val="04A0" w:firstRow="1" w:lastRow="0" w:firstColumn="1" w:lastColumn="0" w:noHBand="0" w:noVBand="1"/>
      </w:tblPr>
      <w:tblGrid>
        <w:gridCol w:w="2142"/>
        <w:gridCol w:w="2870"/>
        <w:gridCol w:w="2142"/>
      </w:tblGrid>
      <w:tr w:rsidR="00BA797F" w14:paraId="251A20ED" w14:textId="77777777">
        <w:trPr>
          <w:trHeight w:val="878"/>
        </w:trPr>
        <w:tc>
          <w:tcPr>
            <w:tcW w:w="1666" w:type="pct"/>
            <w:vAlign w:val="center"/>
          </w:tcPr>
          <w:p w14:paraId="2E6D7C7F" w14:textId="77777777" w:rsidR="00BA797F" w:rsidRDefault="00000000">
            <w:r>
              <w:rPr>
                <w:b/>
              </w:rPr>
              <w:t>23</w:t>
            </w:r>
          </w:p>
        </w:tc>
        <w:tc>
          <w:tcPr>
            <w:tcW w:w="1666" w:type="pct"/>
            <w:vAlign w:val="center"/>
          </w:tcPr>
          <w:p w14:paraId="394DE3DC" w14:textId="77777777" w:rsidR="00BA797F" w:rsidRDefault="00000000">
            <w:r>
              <w:rPr>
                <w:b/>
              </w:rPr>
              <w:t>UKUPNE OBVEZE ZA RASHODE POSLOVANJA</w:t>
            </w:r>
          </w:p>
        </w:tc>
        <w:tc>
          <w:tcPr>
            <w:tcW w:w="1666" w:type="pct"/>
            <w:vAlign w:val="center"/>
          </w:tcPr>
          <w:p w14:paraId="7C2B52F3" w14:textId="77777777" w:rsidR="00BA797F" w:rsidRDefault="00000000">
            <w:pPr>
              <w:keepNext/>
              <w:jc w:val="center"/>
            </w:pPr>
            <w:r>
              <w:rPr>
                <w:b/>
              </w:rPr>
              <w:t>107.996,54 €</w:t>
            </w:r>
          </w:p>
        </w:tc>
      </w:tr>
      <w:tr w:rsidR="00BA797F" w14:paraId="0F597108" w14:textId="77777777">
        <w:trPr>
          <w:trHeight w:val="542"/>
        </w:trPr>
        <w:tc>
          <w:tcPr>
            <w:tcW w:w="1666" w:type="pct"/>
            <w:vAlign w:val="center"/>
          </w:tcPr>
          <w:p w14:paraId="766DE642" w14:textId="77777777" w:rsidR="00BA797F" w:rsidRDefault="00000000">
            <w:r>
              <w:t>231</w:t>
            </w:r>
          </w:p>
        </w:tc>
        <w:tc>
          <w:tcPr>
            <w:tcW w:w="1666" w:type="pct"/>
            <w:vAlign w:val="center"/>
          </w:tcPr>
          <w:p w14:paraId="71275AB9" w14:textId="77777777" w:rsidR="00BA797F" w:rsidRDefault="00000000">
            <w:r>
              <w:t>OBVEZE ZA ZAPOSLENE</w:t>
            </w:r>
          </w:p>
        </w:tc>
        <w:tc>
          <w:tcPr>
            <w:tcW w:w="1666" w:type="pct"/>
            <w:vAlign w:val="center"/>
          </w:tcPr>
          <w:p w14:paraId="0DD06904" w14:textId="77777777" w:rsidR="00BA797F" w:rsidRDefault="00000000">
            <w:pPr>
              <w:keepNext/>
              <w:jc w:val="center"/>
            </w:pPr>
            <w:r>
              <w:t>     26.001,72 €</w:t>
            </w:r>
          </w:p>
        </w:tc>
      </w:tr>
      <w:tr w:rsidR="00BA797F" w14:paraId="5A69DB72" w14:textId="77777777">
        <w:trPr>
          <w:trHeight w:val="542"/>
        </w:trPr>
        <w:tc>
          <w:tcPr>
            <w:tcW w:w="1666" w:type="pct"/>
            <w:vAlign w:val="center"/>
          </w:tcPr>
          <w:p w14:paraId="75520AAF" w14:textId="77777777" w:rsidR="00BA797F" w:rsidRDefault="00000000">
            <w:r>
              <w:t>232 </w:t>
            </w:r>
          </w:p>
        </w:tc>
        <w:tc>
          <w:tcPr>
            <w:tcW w:w="1666" w:type="pct"/>
            <w:vAlign w:val="center"/>
          </w:tcPr>
          <w:p w14:paraId="6770C00D" w14:textId="77777777" w:rsidR="00BA797F" w:rsidRDefault="00000000">
            <w:r>
              <w:t>OBVEZE ZA MATERIJALNE RASHODE</w:t>
            </w:r>
          </w:p>
        </w:tc>
        <w:tc>
          <w:tcPr>
            <w:tcW w:w="1666" w:type="pct"/>
            <w:vAlign w:val="center"/>
          </w:tcPr>
          <w:p w14:paraId="6B84A2E3" w14:textId="77777777" w:rsidR="00BA797F" w:rsidRDefault="00000000">
            <w:pPr>
              <w:keepNext/>
              <w:jc w:val="center"/>
            </w:pPr>
            <w:r>
              <w:t>48.800,16 €</w:t>
            </w:r>
          </w:p>
        </w:tc>
      </w:tr>
      <w:tr w:rsidR="00BA797F" w14:paraId="1F35B884" w14:textId="77777777">
        <w:trPr>
          <w:trHeight w:val="542"/>
        </w:trPr>
        <w:tc>
          <w:tcPr>
            <w:tcW w:w="1666" w:type="pct"/>
            <w:vAlign w:val="center"/>
          </w:tcPr>
          <w:p w14:paraId="2A147D5B" w14:textId="77777777" w:rsidR="00BA797F" w:rsidRDefault="00000000">
            <w:r>
              <w:lastRenderedPageBreak/>
              <w:t>234 </w:t>
            </w:r>
          </w:p>
        </w:tc>
        <w:tc>
          <w:tcPr>
            <w:tcW w:w="1666" w:type="pct"/>
            <w:vAlign w:val="center"/>
          </w:tcPr>
          <w:p w14:paraId="6F19D6D6" w14:textId="77777777" w:rsidR="00BA797F" w:rsidRDefault="00000000">
            <w:r>
              <w:t>OBVEZE ZA FINANCIJSKERASHODE</w:t>
            </w:r>
          </w:p>
        </w:tc>
        <w:tc>
          <w:tcPr>
            <w:tcW w:w="1666" w:type="pct"/>
            <w:vAlign w:val="center"/>
          </w:tcPr>
          <w:p w14:paraId="4D53B438" w14:textId="77777777" w:rsidR="00BA797F" w:rsidRDefault="00000000">
            <w:pPr>
              <w:keepNext/>
              <w:jc w:val="center"/>
            </w:pPr>
            <w:r>
              <w:t>70,66 €</w:t>
            </w:r>
          </w:p>
        </w:tc>
      </w:tr>
      <w:tr w:rsidR="00BA797F" w14:paraId="2BFC33E7" w14:textId="77777777">
        <w:trPr>
          <w:trHeight w:val="542"/>
        </w:trPr>
        <w:tc>
          <w:tcPr>
            <w:tcW w:w="1666" w:type="pct"/>
            <w:vAlign w:val="center"/>
          </w:tcPr>
          <w:p w14:paraId="6AF45034" w14:textId="77777777" w:rsidR="00BA797F" w:rsidRDefault="00000000">
            <w:r>
              <w:t>239 </w:t>
            </w:r>
          </w:p>
        </w:tc>
        <w:tc>
          <w:tcPr>
            <w:tcW w:w="1666" w:type="pct"/>
            <w:vAlign w:val="center"/>
          </w:tcPr>
          <w:p w14:paraId="39B5DA32" w14:textId="77777777" w:rsidR="00BA797F" w:rsidRDefault="00000000">
            <w:r>
              <w:t>OSTALE TEKUĆE OBVEZE</w:t>
            </w:r>
          </w:p>
        </w:tc>
        <w:tc>
          <w:tcPr>
            <w:tcW w:w="1666" w:type="pct"/>
            <w:vAlign w:val="center"/>
          </w:tcPr>
          <w:p w14:paraId="10807B05" w14:textId="77777777" w:rsidR="00BA797F" w:rsidRDefault="00000000">
            <w:pPr>
              <w:keepNext/>
              <w:jc w:val="center"/>
            </w:pPr>
            <w:r>
              <w:t>30,92 €</w:t>
            </w:r>
          </w:p>
        </w:tc>
      </w:tr>
      <w:tr w:rsidR="00BA797F" w14:paraId="077E2EA5" w14:textId="77777777">
        <w:trPr>
          <w:trHeight w:val="542"/>
        </w:trPr>
        <w:tc>
          <w:tcPr>
            <w:tcW w:w="1666" w:type="pct"/>
            <w:vAlign w:val="center"/>
          </w:tcPr>
          <w:p w14:paraId="055FEA88" w14:textId="77777777" w:rsidR="00BA797F" w:rsidRDefault="00000000">
            <w:r>
              <w:t>242</w:t>
            </w:r>
          </w:p>
        </w:tc>
        <w:tc>
          <w:tcPr>
            <w:tcW w:w="1666" w:type="pct"/>
            <w:vAlign w:val="center"/>
          </w:tcPr>
          <w:p w14:paraId="4BB50D11" w14:textId="77777777" w:rsidR="00BA797F" w:rsidRDefault="00000000">
            <w:r>
              <w:t>OBVEZE ZA NABAVU NEF.IMOVINE</w:t>
            </w:r>
          </w:p>
        </w:tc>
        <w:tc>
          <w:tcPr>
            <w:tcW w:w="1666" w:type="pct"/>
            <w:vAlign w:val="center"/>
          </w:tcPr>
          <w:p w14:paraId="7BC31EB6" w14:textId="77777777" w:rsidR="00BA797F" w:rsidRDefault="00000000">
            <w:pPr>
              <w:keepNext/>
              <w:jc w:val="center"/>
            </w:pPr>
            <w:r>
              <w:t>3.297,25€</w:t>
            </w:r>
          </w:p>
        </w:tc>
      </w:tr>
      <w:tr w:rsidR="00BA797F" w14:paraId="397E307D" w14:textId="77777777">
        <w:trPr>
          <w:trHeight w:val="542"/>
        </w:trPr>
        <w:tc>
          <w:tcPr>
            <w:tcW w:w="1666" w:type="pct"/>
            <w:vAlign w:val="center"/>
          </w:tcPr>
          <w:p w14:paraId="0ED0339B" w14:textId="77777777" w:rsidR="00BA797F" w:rsidRDefault="00000000">
            <w:r>
              <w:t>245 </w:t>
            </w:r>
          </w:p>
        </w:tc>
        <w:tc>
          <w:tcPr>
            <w:tcW w:w="1666" w:type="pct"/>
            <w:vAlign w:val="center"/>
          </w:tcPr>
          <w:p w14:paraId="6458759B" w14:textId="77777777" w:rsidR="00BA797F" w:rsidRDefault="00000000">
            <w:r>
              <w:t>OBVEZE ZA DODATNA ULAGANJA NA NEF. IMOVINI</w:t>
            </w:r>
          </w:p>
        </w:tc>
        <w:tc>
          <w:tcPr>
            <w:tcW w:w="1666" w:type="pct"/>
            <w:vAlign w:val="center"/>
          </w:tcPr>
          <w:p w14:paraId="30A4B345" w14:textId="77777777" w:rsidR="00BA797F" w:rsidRDefault="00000000">
            <w:pPr>
              <w:keepNext/>
              <w:jc w:val="center"/>
            </w:pPr>
            <w:r>
              <w:t>14.191,25 €</w:t>
            </w:r>
          </w:p>
        </w:tc>
      </w:tr>
      <w:tr w:rsidR="00BA797F" w14:paraId="79AB0192" w14:textId="77777777">
        <w:trPr>
          <w:trHeight w:val="542"/>
        </w:trPr>
        <w:tc>
          <w:tcPr>
            <w:tcW w:w="1666" w:type="pct"/>
            <w:vAlign w:val="center"/>
          </w:tcPr>
          <w:p w14:paraId="3916FDC2" w14:textId="77777777" w:rsidR="00BA797F" w:rsidRDefault="00000000">
            <w:r>
              <w:t>272</w:t>
            </w:r>
          </w:p>
        </w:tc>
        <w:tc>
          <w:tcPr>
            <w:tcW w:w="1666" w:type="pct"/>
            <w:vAlign w:val="center"/>
          </w:tcPr>
          <w:p w14:paraId="4211C6DB" w14:textId="77777777" w:rsidR="00BA797F" w:rsidRDefault="00000000">
            <w:r>
              <w:t>OBVEZE ZA DEPOZITE I JAMČEVNE POLOGE</w:t>
            </w:r>
          </w:p>
        </w:tc>
        <w:tc>
          <w:tcPr>
            <w:tcW w:w="1666" w:type="pct"/>
            <w:vAlign w:val="center"/>
          </w:tcPr>
          <w:p w14:paraId="3F068F0F" w14:textId="77777777" w:rsidR="00BA797F" w:rsidRDefault="00000000">
            <w:pPr>
              <w:keepNext/>
              <w:jc w:val="center"/>
            </w:pPr>
            <w:r>
              <w:t>227,40 €</w:t>
            </w:r>
          </w:p>
        </w:tc>
      </w:tr>
      <w:tr w:rsidR="00BA797F" w14:paraId="1F99393D" w14:textId="77777777">
        <w:trPr>
          <w:trHeight w:val="542"/>
        </w:trPr>
        <w:tc>
          <w:tcPr>
            <w:tcW w:w="1666" w:type="pct"/>
            <w:vAlign w:val="center"/>
          </w:tcPr>
          <w:p w14:paraId="3068370D" w14:textId="77777777" w:rsidR="00BA797F" w:rsidRDefault="00000000">
            <w:r>
              <w:t>276</w:t>
            </w:r>
          </w:p>
        </w:tc>
        <w:tc>
          <w:tcPr>
            <w:tcW w:w="1666" w:type="pct"/>
            <w:vAlign w:val="center"/>
          </w:tcPr>
          <w:p w14:paraId="2914AEB0" w14:textId="77777777" w:rsidR="00BA797F" w:rsidRDefault="00000000">
            <w:r>
              <w:t>OBVEZE PRORAČUNSKIH KORISNIKA ZA POVRAT U PRORAČUN </w:t>
            </w:r>
          </w:p>
        </w:tc>
        <w:tc>
          <w:tcPr>
            <w:tcW w:w="1666" w:type="pct"/>
            <w:vAlign w:val="center"/>
          </w:tcPr>
          <w:p w14:paraId="197E5BEC" w14:textId="77777777" w:rsidR="00BA797F" w:rsidRDefault="00000000">
            <w:pPr>
              <w:keepNext/>
              <w:jc w:val="center"/>
            </w:pPr>
            <w:r>
              <w:t>15.575,31 €</w:t>
            </w:r>
          </w:p>
        </w:tc>
      </w:tr>
    </w:tbl>
    <w:p w14:paraId="54359E18" w14:textId="77777777" w:rsidR="00BA797F" w:rsidRDefault="00000000">
      <w:r>
        <w:t> </w:t>
      </w:r>
    </w:p>
    <w:p w14:paraId="27FEDCC1" w14:textId="77777777" w:rsidR="00BA797F" w:rsidRDefault="00BA797F"/>
    <w:p w14:paraId="7767B060" w14:textId="77777777" w:rsidR="00BA797F"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A797F" w14:paraId="673ABD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E65207" w14:textId="77777777" w:rsidR="00BA797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E5B9D3" w14:textId="77777777" w:rsidR="00BA797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16A0FB" w14:textId="77777777" w:rsidR="00BA797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2A820B" w14:textId="77777777" w:rsidR="00BA797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9CBB711" w14:textId="77777777" w:rsidR="00BA797F" w:rsidRDefault="00000000">
            <w:pPr>
              <w:keepNext/>
              <w:keepLines/>
              <w:spacing w:after="0" w:line="240" w:lineRule="auto"/>
              <w:jc w:val="center"/>
            </w:pPr>
            <w:r>
              <w:rPr>
                <w:b/>
                <w:sz w:val="18"/>
              </w:rPr>
              <w:t>Indeks (%)</w:t>
            </w:r>
          </w:p>
        </w:tc>
      </w:tr>
      <w:tr w:rsidR="00BA797F" w14:paraId="5DBB77CE" w14:textId="77777777">
        <w:tblPrEx>
          <w:tblCellMar>
            <w:top w:w="0" w:type="dxa"/>
            <w:bottom w:w="0" w:type="dxa"/>
          </w:tblCellMar>
        </w:tblPrEx>
        <w:trPr>
          <w:cantSplit/>
          <w:trHeight w:val="560"/>
        </w:trPr>
        <w:tc>
          <w:tcPr>
            <w:tcW w:w="700" w:type="dxa"/>
            <w:tcMar>
              <w:top w:w="0" w:type="dxa"/>
              <w:bottom w:w="0" w:type="dxa"/>
            </w:tcMar>
            <w:vAlign w:val="center"/>
          </w:tcPr>
          <w:p w14:paraId="537925F1" w14:textId="77777777" w:rsidR="00BA797F" w:rsidRDefault="00BA797F">
            <w:pPr>
              <w:keepNext/>
              <w:keepLines/>
              <w:spacing w:after="0" w:line="240" w:lineRule="auto"/>
            </w:pPr>
          </w:p>
        </w:tc>
        <w:tc>
          <w:tcPr>
            <w:tcW w:w="3180" w:type="dxa"/>
            <w:tcMar>
              <w:top w:w="0" w:type="dxa"/>
              <w:bottom w:w="0" w:type="dxa"/>
            </w:tcMar>
            <w:vAlign w:val="center"/>
          </w:tcPr>
          <w:p w14:paraId="69B17546" w14:textId="77777777" w:rsidR="00BA797F"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57ECFFC1" w14:textId="77777777" w:rsidR="00BA797F" w:rsidRDefault="00000000">
            <w:pPr>
              <w:keepNext/>
              <w:keepLines/>
              <w:spacing w:after="0" w:line="240" w:lineRule="auto"/>
            </w:pPr>
            <w:r>
              <w:rPr>
                <w:sz w:val="18"/>
              </w:rPr>
              <w:t>V010</w:t>
            </w:r>
          </w:p>
        </w:tc>
        <w:tc>
          <w:tcPr>
            <w:tcW w:w="1860" w:type="dxa"/>
            <w:tcMar>
              <w:top w:w="0" w:type="dxa"/>
              <w:bottom w:w="0" w:type="dxa"/>
            </w:tcMar>
            <w:vAlign w:val="center"/>
          </w:tcPr>
          <w:p w14:paraId="3A1C7C96" w14:textId="77777777" w:rsidR="00BA797F" w:rsidRDefault="00000000">
            <w:pPr>
              <w:keepNext/>
              <w:keepLines/>
              <w:spacing w:after="0" w:line="240" w:lineRule="auto"/>
              <w:jc w:val="right"/>
            </w:pPr>
            <w:r>
              <w:rPr>
                <w:sz w:val="18"/>
              </w:rPr>
              <w:t>15.575,31</w:t>
            </w:r>
          </w:p>
        </w:tc>
        <w:tc>
          <w:tcPr>
            <w:tcW w:w="700" w:type="dxa"/>
            <w:tcMar>
              <w:top w:w="0" w:type="dxa"/>
              <w:bottom w:w="0" w:type="dxa"/>
            </w:tcMar>
            <w:vAlign w:val="center"/>
          </w:tcPr>
          <w:p w14:paraId="71E4486D" w14:textId="77777777" w:rsidR="00BA797F" w:rsidRDefault="00000000">
            <w:pPr>
              <w:keepNext/>
              <w:keepLines/>
              <w:spacing w:after="0" w:line="240" w:lineRule="auto"/>
              <w:jc w:val="right"/>
            </w:pPr>
            <w:r>
              <w:rPr>
                <w:sz w:val="18"/>
              </w:rPr>
              <w:t>-</w:t>
            </w:r>
          </w:p>
        </w:tc>
      </w:tr>
    </w:tbl>
    <w:p w14:paraId="7BEFFD90" w14:textId="77777777" w:rsidR="00BA797F" w:rsidRDefault="00BA797F">
      <w:pPr>
        <w:spacing w:after="0"/>
      </w:pPr>
    </w:p>
    <w:p w14:paraId="40DF7473" w14:textId="4ADD8C17" w:rsidR="00BA797F" w:rsidRDefault="00000000">
      <w:r>
        <w:t xml:space="preserve">Obveza za povrat u nadležni proračun temeljem korekcija iz </w:t>
      </w:r>
      <w:r w:rsidR="006E3943">
        <w:t>prethodnih</w:t>
      </w:r>
      <w:r>
        <w:t xml:space="preserve"> razdoblja.</w:t>
      </w:r>
    </w:p>
    <w:p w14:paraId="5783326C" w14:textId="77777777" w:rsidR="00BA797F" w:rsidRDefault="00BA797F"/>
    <w:p w14:paraId="5F32407C" w14:textId="77777777" w:rsidR="00BA797F" w:rsidRDefault="00000000">
      <w:pPr>
        <w:keepNext/>
        <w:spacing w:line="240" w:lineRule="auto"/>
        <w:jc w:val="center"/>
      </w:pPr>
      <w:r>
        <w:rPr>
          <w:sz w:val="28"/>
        </w:rPr>
        <w:t>Bilješka 47.</w:t>
      </w:r>
    </w:p>
    <w:p w14:paraId="25E0BA6D" w14:textId="77777777" w:rsidR="00BA797F" w:rsidRDefault="00000000">
      <w:pPr>
        <w:spacing w:line="240" w:lineRule="auto"/>
        <w:jc w:val="both"/>
      </w:pPr>
      <w:r>
        <w:rPr>
          <w:b/>
        </w:rPr>
        <w:t>EU izvještaj</w:t>
      </w:r>
    </w:p>
    <w:p w14:paraId="395CB839" w14:textId="77777777" w:rsidR="00BA797F" w:rsidRDefault="00000000">
      <w:r>
        <w:t>Na izvoru 510 u ovom razdoblju ostvareni su sljedeći prihodi:</w:t>
      </w:r>
    </w:p>
    <w:p w14:paraId="35142744" w14:textId="77777777" w:rsidR="00BA797F" w:rsidRDefault="00000000">
      <w:r>
        <w:t xml:space="preserve">Na kontu 6321 - Tekuće pomoći od međunarodnih organizacija prihodovali smo  </w:t>
      </w:r>
      <w:r>
        <w:rPr>
          <w:b/>
        </w:rPr>
        <w:t xml:space="preserve">35.239,78€ </w:t>
      </w:r>
      <w:r>
        <w:t xml:space="preserve">na ime uplate zadnje rate za projekt </w:t>
      </w:r>
      <w:proofErr w:type="spellStart"/>
      <w:r>
        <w:t>Stronger</w:t>
      </w:r>
      <w:proofErr w:type="spellEnd"/>
      <w:r>
        <w:t xml:space="preserve"> </w:t>
      </w:r>
      <w:proofErr w:type="spellStart"/>
      <w:r>
        <w:t>Peripheries</w:t>
      </w:r>
      <w:proofErr w:type="spellEnd"/>
      <w:r>
        <w:t xml:space="preserve"> od strane partnera </w:t>
      </w:r>
      <w:proofErr w:type="spellStart"/>
      <w:r>
        <w:t>Artemrede</w:t>
      </w:r>
      <w:proofErr w:type="spellEnd"/>
      <w:r>
        <w:t>. Projektne aktivnosti i sam projekt je završio 2024.godine, kada je predan i finalni izvještaj. Osim toga, primljena je uplata druge i treće rate za projekt THE PLACE koji je završen u 2025.godini.</w:t>
      </w:r>
    </w:p>
    <w:p w14:paraId="61333D42" w14:textId="77777777" w:rsidR="00BA797F" w:rsidRDefault="00000000">
      <w:r>
        <w:t xml:space="preserve">Na kontu 6381 Tekuće pomoći temeljem prijenosa EU sredstava evidentirana je uplata Agencije za mobilnost i programe EU, u iznosu od </w:t>
      </w:r>
      <w:r>
        <w:rPr>
          <w:b/>
        </w:rPr>
        <w:t>2.947,20€</w:t>
      </w:r>
      <w:r>
        <w:t xml:space="preserve"> na ime projekta 2024-1+HR01-KA122-000233054 - Podizanje kompetencija radnika Pogona, realizacija kojeg je ostvarena u 2025. godini.</w:t>
      </w:r>
    </w:p>
    <w:p w14:paraId="05C1F9DA" w14:textId="30543A2E" w:rsidR="00BA797F" w:rsidRDefault="00000000">
      <w:r>
        <w:t>Sukladno uputama u okružnici na kontima 1638/9638,  iznos od</w:t>
      </w:r>
      <w:r w:rsidR="006E3943">
        <w:t xml:space="preserve"> </w:t>
      </w:r>
      <w:r>
        <w:rPr>
          <w:b/>
        </w:rPr>
        <w:t>736,80€</w:t>
      </w:r>
      <w:r>
        <w:t xml:space="preserve"> evidentiran je ostatak potraživanja temeljem Ugovora i predanog i odobrenog izvješća. Ostatak uplate od AMPEU-a očekuje se u prvom kvartalu 2026. godine. Navedeni ostatak evidentiran je i u vanbilančnoj evidenciji.</w:t>
      </w:r>
    </w:p>
    <w:p w14:paraId="7D9AD0BF" w14:textId="77777777" w:rsidR="00BA797F" w:rsidRDefault="00000000">
      <w:r>
        <w:lastRenderedPageBreak/>
        <w:t> </w:t>
      </w:r>
    </w:p>
    <w:p w14:paraId="37472433" w14:textId="77777777" w:rsidR="00BA797F" w:rsidRDefault="00BA797F"/>
    <w:sectPr w:rsidR="00BA79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7F"/>
    <w:rsid w:val="006E3943"/>
    <w:rsid w:val="009C4F6E"/>
    <w:rsid w:val="00BA79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5A17"/>
  <w15:docId w15:val="{306C2112-B8E5-43EA-8B96-AA0E5985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6148</Words>
  <Characters>35050</Characters>
  <Application>Microsoft Office Word</Application>
  <DocSecurity>0</DocSecurity>
  <Lines>292</Lines>
  <Paragraphs>82</Paragraphs>
  <ScaleCrop>false</ScaleCrop>
  <Company/>
  <LinksUpToDate>false</LinksUpToDate>
  <CharactersWithSpaces>41116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Graziella  Bokor</cp:lastModifiedBy>
  <cp:revision>2</cp:revision>
  <dcterms:created xsi:type="dcterms:W3CDTF">2026-02-10T10:54:00Z</dcterms:created>
  <dcterms:modified xsi:type="dcterms:W3CDTF">2026-02-10T10:54:00Z</dcterms:modified>
</cp:coreProperties>
</file>